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pPr>
              <w:jc w:val="center"/>
              <w:rPr>
                <w:rFonts w:ascii="宋体" w:hAnsi="宋体" w:eastAsia="宋体" w:cs="Times New Roman"/>
                <w:sz w:val="28"/>
                <w:szCs w:val="20"/>
                <w:u w:val="single"/>
              </w:rPr>
            </w:pPr>
          </w:p>
          <w:p>
            <w:pPr>
              <w:jc w:val="center"/>
              <w:rPr>
                <w:rFonts w:ascii="宋体" w:hAnsi="宋体" w:eastAsia="宋体" w:cs="Times New Roman"/>
                <w:sz w:val="28"/>
                <w:szCs w:val="20"/>
              </w:rPr>
            </w:pPr>
            <w:r>
              <w:rPr>
                <w:rFonts w:hint="eastAsia" w:ascii="宋体" w:hAnsi="宋体" w:eastAsia="宋体" w:cs="Times New Roman"/>
                <w:sz w:val="28"/>
                <w:szCs w:val="20"/>
                <w:u w:val="single"/>
              </w:rPr>
              <w:t>国网四川省电力公司集中招标2019年第4次服务类招标</w:t>
            </w:r>
          </w:p>
          <w:p>
            <w:pPr>
              <w:rPr>
                <w:rFonts w:ascii="宋体" w:hAnsi="宋体" w:eastAsia="宋体" w:cs="Times New Roman"/>
                <w:szCs w:val="20"/>
              </w:rPr>
            </w:pPr>
          </w:p>
          <w:p>
            <w:pPr>
              <w:rPr>
                <w:rFonts w:ascii="宋体" w:hAnsi="宋体" w:eastAsia="宋体" w:cs="Times New Roman"/>
                <w:szCs w:val="20"/>
              </w:rPr>
            </w:pPr>
          </w:p>
          <w:p>
            <w:pPr>
              <w:jc w:val="center"/>
              <w:rPr>
                <w:rFonts w:ascii="宋体" w:hAnsi="宋体" w:eastAsia="宋体" w:cs="Times New Roman"/>
                <w:sz w:val="32"/>
                <w:szCs w:val="20"/>
              </w:rPr>
            </w:pPr>
            <w:r>
              <w:rPr>
                <w:rFonts w:hint="eastAsia" w:ascii="宋体" w:hAnsi="宋体" w:eastAsia="宋体" w:cs="Times New Roman"/>
                <w:sz w:val="32"/>
                <w:szCs w:val="20"/>
              </w:rPr>
              <w:t>投标文件</w:t>
            </w:r>
          </w:p>
          <w:p>
            <w:pPr>
              <w:rPr>
                <w:rFonts w:ascii="宋体" w:hAnsi="宋体" w:eastAsia="宋体" w:cs="Times New Roman"/>
                <w:sz w:val="32"/>
                <w:szCs w:val="20"/>
              </w:rPr>
            </w:pPr>
          </w:p>
          <w:p>
            <w:pPr>
              <w:jc w:val="center"/>
              <w:rPr>
                <w:rFonts w:ascii="宋体" w:hAnsi="宋体" w:eastAsia="宋体" w:cs="Times New Roman"/>
                <w:sz w:val="32"/>
                <w:szCs w:val="20"/>
              </w:rPr>
            </w:pPr>
            <w:r>
              <w:rPr>
                <w:rFonts w:hint="eastAsia" w:ascii="宋体" w:hAnsi="宋体" w:eastAsia="宋体" w:cs="Times New Roman"/>
                <w:sz w:val="32"/>
                <w:szCs w:val="20"/>
              </w:rPr>
              <w:t>（技术文件）</w:t>
            </w: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r>
              <w:rPr>
                <w:rFonts w:hint="eastAsia" w:ascii="宋体" w:hAnsi="宋体" w:eastAsia="宋体" w:cs="Times New Roman"/>
                <w:szCs w:val="20"/>
              </w:rPr>
              <w:t>招标编号：</w:t>
            </w:r>
            <w:r>
              <w:rPr>
                <w:rFonts w:ascii="宋体" w:hAnsi="宋体" w:eastAsia="宋体" w:cs="Times New Roman"/>
                <w:szCs w:val="20"/>
              </w:rPr>
              <w:t>SCG-201904-FW3-06</w:t>
            </w:r>
          </w:p>
          <w:p>
            <w:pPr>
              <w:rPr>
                <w:rFonts w:ascii="宋体" w:hAnsi="宋体" w:eastAsia="宋体" w:cs="Times New Roman"/>
                <w:szCs w:val="20"/>
              </w:rPr>
            </w:pPr>
            <w:r>
              <w:rPr>
                <w:rFonts w:hint="eastAsia" w:ascii="宋体" w:hAnsi="宋体" w:eastAsia="宋体" w:cs="Times New Roman"/>
                <w:szCs w:val="20"/>
              </w:rPr>
              <w:t>分标编号：FW</w:t>
            </w:r>
            <w:r>
              <w:rPr>
                <w:rFonts w:ascii="宋体" w:hAnsi="宋体" w:eastAsia="宋体" w:cs="Times New Roman"/>
                <w:szCs w:val="20"/>
              </w:rPr>
              <w:t>3</w:t>
            </w:r>
          </w:p>
          <w:p>
            <w:pPr>
              <w:rPr>
                <w:rFonts w:ascii="宋体" w:hAnsi="宋体" w:eastAsia="宋体" w:cs="Times New Roman"/>
                <w:szCs w:val="20"/>
              </w:rPr>
            </w:pPr>
            <w:r>
              <w:rPr>
                <w:rFonts w:hint="eastAsia" w:ascii="宋体" w:hAnsi="宋体" w:eastAsia="宋体" w:cs="Times New Roman"/>
                <w:szCs w:val="20"/>
              </w:rPr>
              <w:t>包    号：</w:t>
            </w:r>
            <w:r>
              <w:rPr>
                <w:rFonts w:ascii="宋体" w:hAnsi="宋体" w:eastAsia="宋体" w:cs="Times New Roman"/>
                <w:szCs w:val="20"/>
              </w:rPr>
              <w:t>06</w:t>
            </w:r>
          </w:p>
          <w:p>
            <w:pPr>
              <w:rPr>
                <w:rFonts w:ascii="宋体" w:hAnsi="宋体" w:eastAsia="宋体" w:cs="Times New Roman"/>
                <w:szCs w:val="20"/>
              </w:rPr>
            </w:pPr>
            <w:r>
              <w:rPr>
                <w:rFonts w:hint="eastAsia" w:ascii="宋体" w:hAnsi="宋体" w:eastAsia="宋体" w:cs="Times New Roman"/>
                <w:szCs w:val="20"/>
              </w:rPr>
              <w:t>包    名：国网四川省电力公司天府新区供电公司集成弧光保护的开关柜故障监测、防控与事故追溯一体化系统研究开发</w:t>
            </w:r>
          </w:p>
          <w:p>
            <w:pPr>
              <w:rPr>
                <w:rFonts w:ascii="宋体" w:hAnsi="宋体" w:eastAsia="宋体" w:cs="Times New Roman"/>
                <w:szCs w:val="20"/>
              </w:rPr>
            </w:pPr>
            <w:r>
              <w:rPr>
                <w:rFonts w:hint="eastAsia" w:ascii="宋体" w:hAnsi="宋体" w:eastAsia="宋体" w:cs="Times New Roman"/>
                <w:szCs w:val="20"/>
              </w:rPr>
              <w:t>投标人：</w:t>
            </w:r>
            <w:r>
              <w:rPr>
                <w:rFonts w:hint="eastAsia" w:ascii="宋体" w:hAnsi="宋体" w:eastAsia="宋体" w:cs="Times New Roman"/>
                <w:szCs w:val="20"/>
                <w:u w:val="single"/>
              </w:rPr>
              <w:t>四川大学</w:t>
            </w:r>
            <w:r>
              <w:rPr>
                <w:rFonts w:hint="eastAsia" w:ascii="宋体" w:hAnsi="宋体" w:eastAsia="宋体" w:cs="Times New Roman"/>
                <w:szCs w:val="20"/>
              </w:rPr>
              <w:t>（盖单位公章）</w:t>
            </w:r>
          </w:p>
          <w:p>
            <w:pPr>
              <w:rPr>
                <w:rFonts w:ascii="宋体" w:hAnsi="宋体" w:eastAsia="宋体" w:cs="Times New Roman"/>
                <w:sz w:val="18"/>
                <w:szCs w:val="20"/>
              </w:rPr>
            </w:pPr>
            <w:r>
              <w:rPr>
                <w:rFonts w:hint="eastAsia" w:ascii="宋体" w:hAnsi="宋体" w:eastAsia="宋体" w:cs="Times New Roman"/>
                <w:szCs w:val="20"/>
              </w:rPr>
              <w:t>法定代表人或其委托代理人：</w:t>
            </w:r>
            <w:r>
              <w:rPr>
                <w:rFonts w:hint="eastAsia" w:ascii="宋体" w:hAnsi="宋体" w:eastAsia="宋体" w:cs="Times New Roman"/>
                <w:szCs w:val="20"/>
                <w:u w:val="single"/>
              </w:rPr>
              <w:t xml:space="preserve">          </w:t>
            </w:r>
            <w:r>
              <w:rPr>
                <w:rFonts w:hint="eastAsia" w:ascii="宋体" w:hAnsi="宋体" w:eastAsia="宋体" w:cs="Times New Roman"/>
                <w:szCs w:val="20"/>
              </w:rPr>
              <w:t>（签字）</w:t>
            </w:r>
          </w:p>
          <w:p>
            <w:pPr>
              <w:rPr>
                <w:rFonts w:ascii="宋体" w:hAnsi="宋体" w:eastAsia="宋体" w:cs="Times New Roman"/>
                <w:sz w:val="18"/>
                <w:szCs w:val="20"/>
              </w:rPr>
            </w:pPr>
            <w:r>
              <w:rPr>
                <w:rFonts w:hint="eastAsia" w:ascii="宋体" w:hAnsi="宋体" w:eastAsia="宋体" w:cs="Times New Roman"/>
                <w:szCs w:val="20"/>
              </w:rPr>
              <w:t>地址：成都市一环路南一段24号</w:t>
            </w:r>
          </w:p>
          <w:p>
            <w:pPr>
              <w:rPr>
                <w:rFonts w:ascii="宋体" w:hAnsi="宋体" w:eastAsia="宋体" w:cs="Times New Roman"/>
                <w:szCs w:val="20"/>
              </w:rPr>
            </w:pPr>
            <w:r>
              <w:rPr>
                <w:rFonts w:hint="eastAsia" w:ascii="宋体" w:hAnsi="宋体" w:eastAsia="宋体" w:cs="Times New Roman"/>
                <w:szCs w:val="20"/>
              </w:rPr>
              <w:t>联系人：汤玉红</w:t>
            </w:r>
          </w:p>
          <w:p>
            <w:pPr>
              <w:rPr>
                <w:rFonts w:ascii="宋体" w:hAnsi="宋体" w:eastAsia="宋体" w:cs="Times New Roman"/>
                <w:szCs w:val="20"/>
              </w:rPr>
            </w:pPr>
            <w:r>
              <w:rPr>
                <w:rFonts w:hint="eastAsia" w:ascii="宋体" w:hAnsi="宋体" w:eastAsia="宋体" w:cs="Times New Roman"/>
                <w:szCs w:val="20"/>
              </w:rPr>
              <w:t>联系方式：</w:t>
            </w:r>
            <w:r>
              <w:rPr>
                <w:rFonts w:hint="eastAsia" w:ascii="宋体" w:hAnsi="宋体" w:eastAsia="宋体" w:cs="Times New Roman"/>
                <w:szCs w:val="21"/>
              </w:rPr>
              <w:t>18683697862</w:t>
            </w:r>
          </w:p>
          <w:p>
            <w:pPr>
              <w:rPr>
                <w:rFonts w:ascii="宋体" w:hAnsi="宋体" w:eastAsia="宋体" w:cs="Times New Roman"/>
                <w:szCs w:val="20"/>
              </w:rPr>
            </w:pPr>
          </w:p>
          <w:p>
            <w:pPr>
              <w:rPr>
                <w:rFonts w:ascii="宋体" w:hAnsi="宋体" w:eastAsia="宋体" w:cs="Times New Roman"/>
                <w:szCs w:val="20"/>
              </w:rPr>
            </w:pPr>
          </w:p>
          <w:p>
            <w:pPr>
              <w:jc w:val="center"/>
              <w:rPr>
                <w:rFonts w:ascii="宋体" w:hAnsi="宋体" w:eastAsia="宋体" w:cs="Times New Roman"/>
                <w:szCs w:val="20"/>
              </w:rPr>
            </w:pPr>
            <w:r>
              <w:rPr>
                <w:rFonts w:hint="eastAsia" w:ascii="宋体" w:hAnsi="宋体" w:eastAsia="宋体" w:cs="Times New Roman"/>
                <w:szCs w:val="20"/>
              </w:rPr>
              <w:t xml:space="preserve">2019年    </w:t>
            </w:r>
            <w:r>
              <w:rPr>
                <w:rFonts w:ascii="宋体" w:hAnsi="宋体" w:eastAsia="宋体" w:cs="Times New Roman"/>
                <w:szCs w:val="20"/>
              </w:rPr>
              <w:t>7</w:t>
            </w:r>
            <w:r>
              <w:rPr>
                <w:rFonts w:hint="eastAsia" w:ascii="宋体" w:hAnsi="宋体" w:eastAsia="宋体" w:cs="Times New Roman"/>
                <w:szCs w:val="20"/>
              </w:rPr>
              <w:t>月</w:t>
            </w:r>
          </w:p>
          <w:p>
            <w:pPr>
              <w:spacing w:line="360" w:lineRule="auto"/>
              <w:contextualSpacing/>
              <w:jc w:val="center"/>
              <w:rPr>
                <w:rFonts w:ascii="宋体" w:hAnsi="宋体" w:eastAsia="宋体" w:cs="Calibri"/>
                <w:sz w:val="32"/>
                <w:szCs w:val="20"/>
              </w:rPr>
            </w:pPr>
          </w:p>
        </w:tc>
      </w:tr>
    </w:tbl>
    <w:p>
      <w:pPr>
        <w:rPr>
          <w:rFonts w:ascii="宋体" w:hAnsi="宋体" w:eastAsia="宋体"/>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b w:val="0"/>
          <w:bCs w:val="0"/>
          <w:color w:val="auto"/>
          <w:kern w:val="2"/>
          <w:sz w:val="21"/>
          <w:szCs w:val="22"/>
          <w:lang w:val="zh-CN"/>
        </w:rPr>
        <w:id w:val="-1573111808"/>
        <w:docPartObj>
          <w:docPartGallery w:val="Table of Contents"/>
          <w:docPartUnique/>
        </w:docPartObj>
      </w:sdtPr>
      <w:sdtEndPr>
        <w:rPr>
          <w:rFonts w:ascii="宋体" w:hAnsi="宋体" w:eastAsia="宋体" w:cstheme="minorBidi"/>
          <w:b w:val="0"/>
          <w:bCs w:val="0"/>
          <w:color w:val="auto"/>
          <w:kern w:val="2"/>
          <w:sz w:val="21"/>
          <w:szCs w:val="22"/>
          <w:lang w:val="zh-CN"/>
        </w:rPr>
      </w:sdtEndPr>
      <w:sdtContent>
        <w:p>
          <w:pPr>
            <w:pStyle w:val="30"/>
            <w:jc w:val="center"/>
            <w:rPr>
              <w:rFonts w:ascii="宋体" w:hAnsi="宋体" w:eastAsia="宋体"/>
              <w:color w:val="auto"/>
            </w:rPr>
          </w:pPr>
          <w:r>
            <w:rPr>
              <w:rFonts w:ascii="宋体" w:hAnsi="宋体" w:eastAsia="宋体"/>
              <w:color w:val="auto"/>
              <w:lang w:val="zh-CN"/>
            </w:rPr>
            <w:t>目录</w:t>
          </w:r>
        </w:p>
        <w:p>
          <w:pPr>
            <w:pStyle w:val="10"/>
            <w:tabs>
              <w:tab w:val="right" w:leader="dot" w:pos="8296"/>
            </w:tabs>
          </w:pPr>
          <w:r>
            <w:rPr>
              <w:rFonts w:ascii="宋体" w:hAnsi="宋体" w:eastAsia="宋体"/>
            </w:rPr>
            <w:fldChar w:fldCharType="begin"/>
          </w:r>
          <w:r>
            <w:rPr>
              <w:rFonts w:ascii="宋体" w:hAnsi="宋体" w:eastAsia="宋体"/>
            </w:rPr>
            <w:instrText xml:space="preserve"> TOC \o "1-2" \h \z \u </w:instrText>
          </w:r>
          <w:r>
            <w:rPr>
              <w:rFonts w:ascii="宋体" w:hAnsi="宋体" w:eastAsia="宋体"/>
            </w:rPr>
            <w:fldChar w:fldCharType="separate"/>
          </w:r>
          <w:r>
            <w:fldChar w:fldCharType="begin"/>
          </w:r>
          <w:r>
            <w:instrText xml:space="preserve"> HYPERLINK \l "_Toc14249991" </w:instrText>
          </w:r>
          <w:r>
            <w:fldChar w:fldCharType="separate"/>
          </w:r>
          <w:r>
            <w:rPr>
              <w:rStyle w:val="16"/>
              <w:rFonts w:ascii="宋体" w:hAnsi="宋体" w:eastAsia="宋体"/>
            </w:rPr>
            <w:t>一、投标人资格审查资料（技术）</w:t>
          </w:r>
          <w:r>
            <w:tab/>
          </w:r>
          <w:r>
            <w:fldChar w:fldCharType="begin"/>
          </w:r>
          <w:r>
            <w:instrText xml:space="preserve"> PAGEREF _Toc14249991 \h </w:instrText>
          </w:r>
          <w:r>
            <w:fldChar w:fldCharType="separate"/>
          </w:r>
          <w:r>
            <w:t>1</w:t>
          </w:r>
          <w:r>
            <w:fldChar w:fldCharType="end"/>
          </w:r>
          <w:r>
            <w:fldChar w:fldCharType="end"/>
          </w:r>
        </w:p>
        <w:p>
          <w:pPr>
            <w:pStyle w:val="11"/>
            <w:tabs>
              <w:tab w:val="right" w:leader="dot" w:pos="8296"/>
            </w:tabs>
          </w:pPr>
          <w:r>
            <w:fldChar w:fldCharType="begin"/>
          </w:r>
          <w:r>
            <w:instrText xml:space="preserve"> HYPERLINK \l "_Toc14249992" </w:instrText>
          </w:r>
          <w:r>
            <w:fldChar w:fldCharType="separate"/>
          </w:r>
          <w:r>
            <w:rPr>
              <w:rStyle w:val="16"/>
              <w:rFonts w:ascii="宋体" w:hAnsi="宋体" w:eastAsia="宋体" w:cs="Times New Roman"/>
            </w:rPr>
            <w:t>1、投标人概况表</w:t>
          </w:r>
          <w:r>
            <w:tab/>
          </w:r>
          <w:r>
            <w:fldChar w:fldCharType="begin"/>
          </w:r>
          <w:r>
            <w:instrText xml:space="preserve"> PAGEREF _Toc14249992 \h </w:instrText>
          </w:r>
          <w:r>
            <w:fldChar w:fldCharType="separate"/>
          </w:r>
          <w:r>
            <w:t>1</w:t>
          </w:r>
          <w:r>
            <w:fldChar w:fldCharType="end"/>
          </w:r>
          <w:r>
            <w:fldChar w:fldCharType="end"/>
          </w:r>
        </w:p>
        <w:p>
          <w:pPr>
            <w:pStyle w:val="11"/>
            <w:tabs>
              <w:tab w:val="right" w:leader="dot" w:pos="8296"/>
            </w:tabs>
          </w:pPr>
          <w:r>
            <w:fldChar w:fldCharType="begin"/>
          </w:r>
          <w:r>
            <w:instrText xml:space="preserve"> HYPERLINK \l "_Toc14249993" </w:instrText>
          </w:r>
          <w:r>
            <w:fldChar w:fldCharType="separate"/>
          </w:r>
          <w:r>
            <w:rPr>
              <w:rStyle w:val="16"/>
              <w:rFonts w:ascii="宋体" w:hAnsi="宋体" w:eastAsia="宋体" w:cs="Times New Roman"/>
            </w:rPr>
            <w:t>2、投标人项目经理简历表</w:t>
          </w:r>
          <w:r>
            <w:tab/>
          </w:r>
          <w:r>
            <w:fldChar w:fldCharType="begin"/>
          </w:r>
          <w:r>
            <w:instrText xml:space="preserve"> PAGEREF _Toc14249993 \h </w:instrText>
          </w:r>
          <w:r>
            <w:fldChar w:fldCharType="separate"/>
          </w:r>
          <w:r>
            <w:t>3</w:t>
          </w:r>
          <w:r>
            <w:fldChar w:fldCharType="end"/>
          </w:r>
          <w:r>
            <w:fldChar w:fldCharType="end"/>
          </w:r>
        </w:p>
        <w:p>
          <w:pPr>
            <w:pStyle w:val="11"/>
            <w:tabs>
              <w:tab w:val="right" w:leader="dot" w:pos="8296"/>
            </w:tabs>
          </w:pPr>
          <w:r>
            <w:fldChar w:fldCharType="begin"/>
          </w:r>
          <w:r>
            <w:instrText xml:space="preserve"> HYPERLINK \l "_Toc14249994" </w:instrText>
          </w:r>
          <w:r>
            <w:fldChar w:fldCharType="separate"/>
          </w:r>
          <w:r>
            <w:rPr>
              <w:rStyle w:val="16"/>
              <w:rFonts w:ascii="宋体" w:hAnsi="宋体" w:eastAsia="宋体" w:cs="Times New Roman"/>
            </w:rPr>
            <w:t>3、主要咨询人员表</w:t>
          </w:r>
          <w:r>
            <w:tab/>
          </w:r>
          <w:r>
            <w:fldChar w:fldCharType="begin"/>
          </w:r>
          <w:r>
            <w:instrText xml:space="preserve"> PAGEREF _Toc14249994 \h </w:instrText>
          </w:r>
          <w:r>
            <w:fldChar w:fldCharType="separate"/>
          </w:r>
          <w:r>
            <w:t>42</w:t>
          </w:r>
          <w:r>
            <w:fldChar w:fldCharType="end"/>
          </w:r>
          <w:r>
            <w:fldChar w:fldCharType="end"/>
          </w:r>
        </w:p>
        <w:p>
          <w:pPr>
            <w:pStyle w:val="11"/>
            <w:tabs>
              <w:tab w:val="right" w:leader="dot" w:pos="8296"/>
            </w:tabs>
          </w:pPr>
          <w:r>
            <w:fldChar w:fldCharType="begin"/>
          </w:r>
          <w:r>
            <w:instrText xml:space="preserve"> HYPERLINK \l "_Toc14249995" </w:instrText>
          </w:r>
          <w:r>
            <w:fldChar w:fldCharType="separate"/>
          </w:r>
          <w:r>
            <w:rPr>
              <w:rStyle w:val="16"/>
              <w:rFonts w:ascii="宋体" w:hAnsi="宋体" w:eastAsia="宋体" w:cs="Times New Roman"/>
            </w:rPr>
            <w:t>4、拟投入技术骨干概况</w:t>
          </w:r>
          <w:r>
            <w:tab/>
          </w:r>
          <w:r>
            <w:fldChar w:fldCharType="begin"/>
          </w:r>
          <w:r>
            <w:instrText xml:space="preserve"> PAGEREF _Toc14249995 \h </w:instrText>
          </w:r>
          <w:r>
            <w:fldChar w:fldCharType="separate"/>
          </w:r>
          <w:r>
            <w:t>45</w:t>
          </w:r>
          <w:r>
            <w:fldChar w:fldCharType="end"/>
          </w:r>
          <w:r>
            <w:fldChar w:fldCharType="end"/>
          </w:r>
        </w:p>
        <w:p>
          <w:pPr>
            <w:pStyle w:val="11"/>
            <w:tabs>
              <w:tab w:val="right" w:leader="dot" w:pos="8296"/>
            </w:tabs>
          </w:pPr>
          <w:r>
            <w:fldChar w:fldCharType="begin"/>
          </w:r>
          <w:r>
            <w:instrText xml:space="preserve"> HYPERLINK \l "_Toc14249996" </w:instrText>
          </w:r>
          <w:r>
            <w:fldChar w:fldCharType="separate"/>
          </w:r>
          <w:r>
            <w:rPr>
              <w:rStyle w:val="16"/>
              <w:rFonts w:ascii="宋体" w:hAnsi="宋体" w:eastAsia="宋体" w:cs="Times New Roman"/>
            </w:rPr>
            <w:t>5、投标人主要技术装备</w:t>
          </w:r>
          <w:r>
            <w:tab/>
          </w:r>
          <w:r>
            <w:fldChar w:fldCharType="begin"/>
          </w:r>
          <w:r>
            <w:instrText xml:space="preserve"> PAGEREF _Toc14249996 \h </w:instrText>
          </w:r>
          <w:r>
            <w:fldChar w:fldCharType="separate"/>
          </w:r>
          <w:r>
            <w:t>70</w:t>
          </w:r>
          <w:r>
            <w:fldChar w:fldCharType="end"/>
          </w:r>
          <w:r>
            <w:fldChar w:fldCharType="end"/>
          </w:r>
        </w:p>
        <w:p>
          <w:pPr>
            <w:pStyle w:val="11"/>
            <w:tabs>
              <w:tab w:val="right" w:leader="dot" w:pos="8296"/>
            </w:tabs>
          </w:pPr>
          <w:r>
            <w:fldChar w:fldCharType="begin"/>
          </w:r>
          <w:r>
            <w:instrText xml:space="preserve"> HYPERLINK \l "_Toc14249997" </w:instrText>
          </w:r>
          <w:r>
            <w:fldChar w:fldCharType="separate"/>
          </w:r>
          <w:r>
            <w:rPr>
              <w:rStyle w:val="16"/>
              <w:rFonts w:ascii="宋体" w:hAnsi="宋体" w:eastAsia="宋体" w:cs="Times New Roman"/>
            </w:rPr>
            <w:t>6、</w:t>
          </w:r>
          <w:r>
            <w:rPr>
              <w:rStyle w:val="16"/>
              <w:rFonts w:ascii="宋体" w:hAnsi="宋体" w:eastAsia="宋体" w:cs="Times New Roman"/>
              <w:kern w:val="1"/>
            </w:rPr>
            <w:t>相似项目业绩和实施经验</w:t>
          </w:r>
          <w:r>
            <w:tab/>
          </w:r>
          <w:r>
            <w:fldChar w:fldCharType="begin"/>
          </w:r>
          <w:r>
            <w:instrText xml:space="preserve"> PAGEREF _Toc14249997 \h </w:instrText>
          </w:r>
          <w:r>
            <w:fldChar w:fldCharType="separate"/>
          </w:r>
          <w:r>
            <w:t>71</w:t>
          </w:r>
          <w:r>
            <w:fldChar w:fldCharType="end"/>
          </w:r>
          <w:r>
            <w:fldChar w:fldCharType="end"/>
          </w:r>
        </w:p>
        <w:p>
          <w:pPr>
            <w:pStyle w:val="10"/>
            <w:tabs>
              <w:tab w:val="right" w:leader="dot" w:pos="8296"/>
            </w:tabs>
          </w:pPr>
          <w:r>
            <w:fldChar w:fldCharType="begin"/>
          </w:r>
          <w:r>
            <w:instrText xml:space="preserve"> HYPERLINK \l "_Toc14249998" </w:instrText>
          </w:r>
          <w:r>
            <w:fldChar w:fldCharType="separate"/>
          </w:r>
          <w:r>
            <w:rPr>
              <w:rStyle w:val="16"/>
              <w:rFonts w:ascii="宋体" w:hAnsi="宋体" w:eastAsia="宋体"/>
            </w:rPr>
            <w:t>二、工作大纲、工作方案及服务承诺</w:t>
          </w:r>
          <w:r>
            <w:tab/>
          </w:r>
          <w:r>
            <w:fldChar w:fldCharType="begin"/>
          </w:r>
          <w:r>
            <w:instrText xml:space="preserve"> PAGEREF _Toc14249998 \h </w:instrText>
          </w:r>
          <w:r>
            <w:fldChar w:fldCharType="separate"/>
          </w:r>
          <w:r>
            <w:t>104</w:t>
          </w:r>
          <w:r>
            <w:fldChar w:fldCharType="end"/>
          </w:r>
          <w:r>
            <w:fldChar w:fldCharType="end"/>
          </w:r>
        </w:p>
        <w:p>
          <w:pPr>
            <w:pStyle w:val="11"/>
            <w:tabs>
              <w:tab w:val="left" w:pos="1050"/>
              <w:tab w:val="right" w:leader="dot" w:pos="8296"/>
            </w:tabs>
          </w:pPr>
          <w:r>
            <w:fldChar w:fldCharType="begin"/>
          </w:r>
          <w:r>
            <w:instrText xml:space="preserve"> HYPERLINK \l "_Toc14249999" </w:instrText>
          </w:r>
          <w:r>
            <w:fldChar w:fldCharType="separate"/>
          </w:r>
          <w:r>
            <w:rPr>
              <w:rStyle w:val="16"/>
              <w:rFonts w:ascii="Times New Roman" w:hAnsi="Times New Roman" w:eastAsia="宋体" w:cs="Times New Roman"/>
            </w:rPr>
            <w:t>1、</w:t>
          </w:r>
          <w:r>
            <w:tab/>
          </w:r>
          <w:r>
            <w:rPr>
              <w:rStyle w:val="16"/>
              <w:rFonts w:ascii="宋体" w:hAnsi="宋体" w:eastAsia="宋体" w:cstheme="majorBidi"/>
            </w:rPr>
            <w:t>对招标项目的理解：包括项目的所有分解目标理解，项目重点、难点等。</w:t>
          </w:r>
          <w:r>
            <w:tab/>
          </w:r>
          <w:r>
            <w:fldChar w:fldCharType="begin"/>
          </w:r>
          <w:r>
            <w:instrText xml:space="preserve"> PAGEREF _Toc14249999 \h </w:instrText>
          </w:r>
          <w:r>
            <w:fldChar w:fldCharType="separate"/>
          </w:r>
          <w:r>
            <w:t>104</w:t>
          </w:r>
          <w:r>
            <w:fldChar w:fldCharType="end"/>
          </w:r>
          <w:r>
            <w:fldChar w:fldCharType="end"/>
          </w:r>
        </w:p>
        <w:p>
          <w:pPr>
            <w:pStyle w:val="11"/>
            <w:tabs>
              <w:tab w:val="left" w:pos="1050"/>
              <w:tab w:val="right" w:leader="dot" w:pos="8296"/>
            </w:tabs>
          </w:pPr>
          <w:r>
            <w:fldChar w:fldCharType="begin"/>
          </w:r>
          <w:r>
            <w:instrText xml:space="preserve"> HYPERLINK \l "_Toc14250000" </w:instrText>
          </w:r>
          <w:r>
            <w:fldChar w:fldCharType="separate"/>
          </w:r>
          <w:r>
            <w:rPr>
              <w:rStyle w:val="16"/>
              <w:rFonts w:ascii="Times New Roman" w:hAnsi="Times New Roman" w:eastAsia="宋体" w:cs="Times New Roman"/>
            </w:rPr>
            <w:t>2、</w:t>
          </w:r>
          <w:r>
            <w:tab/>
          </w:r>
          <w:r>
            <w:rPr>
              <w:rStyle w:val="16"/>
              <w:rFonts w:ascii="宋体" w:hAnsi="宋体" w:eastAsia="宋体" w:cstheme="majorBidi"/>
            </w:rPr>
            <w:t>投标人承担项目优势：包括投标人与招标项目有关的专题研究、科技成果或产品开发情况，投标人拥有的专利或专有技术等。</w:t>
          </w:r>
          <w:r>
            <w:tab/>
          </w:r>
          <w:r>
            <w:fldChar w:fldCharType="begin"/>
          </w:r>
          <w:r>
            <w:instrText xml:space="preserve"> PAGEREF _Toc14250000 \h </w:instrText>
          </w:r>
          <w:r>
            <w:fldChar w:fldCharType="separate"/>
          </w:r>
          <w:r>
            <w:t>105</w:t>
          </w:r>
          <w:r>
            <w:fldChar w:fldCharType="end"/>
          </w:r>
          <w:r>
            <w:fldChar w:fldCharType="end"/>
          </w:r>
        </w:p>
        <w:p>
          <w:pPr>
            <w:pStyle w:val="11"/>
            <w:tabs>
              <w:tab w:val="left" w:pos="1050"/>
              <w:tab w:val="right" w:leader="dot" w:pos="8296"/>
            </w:tabs>
          </w:pPr>
          <w:r>
            <w:fldChar w:fldCharType="begin"/>
          </w:r>
          <w:r>
            <w:instrText xml:space="preserve"> HYPERLINK \l "_Toc14250001" </w:instrText>
          </w:r>
          <w:r>
            <w:fldChar w:fldCharType="separate"/>
          </w:r>
          <w:r>
            <w:rPr>
              <w:rStyle w:val="16"/>
              <w:rFonts w:ascii="Times New Roman" w:hAnsi="Times New Roman" w:eastAsia="宋体" w:cs="Times New Roman"/>
            </w:rPr>
            <w:t>3、</w:t>
          </w:r>
          <w:r>
            <w:tab/>
          </w:r>
          <w:r>
            <w:rPr>
              <w:rStyle w:val="16"/>
              <w:rFonts w:ascii="宋体" w:hAnsi="宋体" w:eastAsia="宋体" w:cstheme="majorBidi"/>
            </w:rPr>
            <w:t>项目实施组织形式和管理措施。</w:t>
          </w:r>
          <w:r>
            <w:tab/>
          </w:r>
          <w:r>
            <w:fldChar w:fldCharType="begin"/>
          </w:r>
          <w:r>
            <w:instrText xml:space="preserve"> PAGEREF _Toc14250001 \h </w:instrText>
          </w:r>
          <w:r>
            <w:fldChar w:fldCharType="separate"/>
          </w:r>
          <w:r>
            <w:t>143</w:t>
          </w:r>
          <w:r>
            <w:fldChar w:fldCharType="end"/>
          </w:r>
          <w:r>
            <w:fldChar w:fldCharType="end"/>
          </w:r>
        </w:p>
        <w:p>
          <w:pPr>
            <w:pStyle w:val="11"/>
            <w:tabs>
              <w:tab w:val="left" w:pos="1050"/>
              <w:tab w:val="right" w:leader="dot" w:pos="8296"/>
            </w:tabs>
          </w:pPr>
          <w:r>
            <w:fldChar w:fldCharType="begin"/>
          </w:r>
          <w:r>
            <w:instrText xml:space="preserve"> HYPERLINK \l "_Toc14250002" </w:instrText>
          </w:r>
          <w:r>
            <w:fldChar w:fldCharType="separate"/>
          </w:r>
          <w:r>
            <w:rPr>
              <w:rStyle w:val="16"/>
              <w:rFonts w:ascii="Times New Roman" w:hAnsi="Times New Roman" w:eastAsia="宋体" w:cs="Times New Roman"/>
            </w:rPr>
            <w:t>4、</w:t>
          </w:r>
          <w:r>
            <w:tab/>
          </w:r>
          <w:r>
            <w:rPr>
              <w:rStyle w:val="16"/>
              <w:rFonts w:ascii="宋体" w:hAnsi="宋体" w:eastAsia="宋体" w:cstheme="majorBidi"/>
            </w:rPr>
            <w:t>投标人的硬件、软件实力。</w:t>
          </w:r>
          <w:r>
            <w:tab/>
          </w:r>
          <w:r>
            <w:fldChar w:fldCharType="begin"/>
          </w:r>
          <w:r>
            <w:instrText xml:space="preserve"> PAGEREF _Toc14250002 \h </w:instrText>
          </w:r>
          <w:r>
            <w:fldChar w:fldCharType="separate"/>
          </w:r>
          <w:r>
            <w:t>143</w:t>
          </w:r>
          <w:r>
            <w:fldChar w:fldCharType="end"/>
          </w:r>
          <w:r>
            <w:fldChar w:fldCharType="end"/>
          </w:r>
        </w:p>
        <w:p>
          <w:pPr>
            <w:pStyle w:val="11"/>
            <w:tabs>
              <w:tab w:val="left" w:pos="1050"/>
              <w:tab w:val="right" w:leader="dot" w:pos="8296"/>
            </w:tabs>
          </w:pPr>
          <w:r>
            <w:fldChar w:fldCharType="begin"/>
          </w:r>
          <w:r>
            <w:instrText xml:space="preserve"> HYPERLINK \l "_Toc14250003" </w:instrText>
          </w:r>
          <w:r>
            <w:fldChar w:fldCharType="separate"/>
          </w:r>
          <w:r>
            <w:rPr>
              <w:rStyle w:val="16"/>
              <w:rFonts w:ascii="Times New Roman" w:hAnsi="Times New Roman" w:eastAsia="宋体" w:cs="Times New Roman"/>
            </w:rPr>
            <w:t>5、</w:t>
          </w:r>
          <w:r>
            <w:tab/>
          </w:r>
          <w:r>
            <w:rPr>
              <w:rStyle w:val="16"/>
              <w:rFonts w:ascii="宋体" w:hAnsi="宋体" w:eastAsia="宋体" w:cstheme="majorBidi"/>
            </w:rPr>
            <w:t>项目质量保障体系及措施。</w:t>
          </w:r>
          <w:r>
            <w:tab/>
          </w:r>
          <w:r>
            <w:fldChar w:fldCharType="begin"/>
          </w:r>
          <w:r>
            <w:instrText xml:space="preserve"> PAGEREF _Toc14250003 \h </w:instrText>
          </w:r>
          <w:r>
            <w:fldChar w:fldCharType="separate"/>
          </w:r>
          <w:r>
            <w:t>158</w:t>
          </w:r>
          <w:r>
            <w:fldChar w:fldCharType="end"/>
          </w:r>
          <w:r>
            <w:fldChar w:fldCharType="end"/>
          </w:r>
        </w:p>
        <w:p>
          <w:pPr>
            <w:pStyle w:val="11"/>
            <w:tabs>
              <w:tab w:val="left" w:pos="1050"/>
              <w:tab w:val="right" w:leader="dot" w:pos="8296"/>
            </w:tabs>
          </w:pPr>
          <w:r>
            <w:fldChar w:fldCharType="begin"/>
          </w:r>
          <w:r>
            <w:instrText xml:space="preserve"> HYPERLINK \l "_Toc14250004" </w:instrText>
          </w:r>
          <w:r>
            <w:fldChar w:fldCharType="separate"/>
          </w:r>
          <w:r>
            <w:rPr>
              <w:rStyle w:val="16"/>
              <w:rFonts w:ascii="Times New Roman" w:hAnsi="Times New Roman" w:eastAsia="宋体" w:cs="Times New Roman"/>
            </w:rPr>
            <w:t>6、</w:t>
          </w:r>
          <w:r>
            <w:tab/>
          </w:r>
          <w:r>
            <w:rPr>
              <w:rStyle w:val="16"/>
              <w:rFonts w:ascii="宋体" w:hAnsi="宋体" w:eastAsia="宋体" w:cstheme="majorBidi"/>
            </w:rPr>
            <w:t>项目进度、安全控制措施。</w:t>
          </w:r>
          <w:r>
            <w:tab/>
          </w:r>
          <w:r>
            <w:fldChar w:fldCharType="begin"/>
          </w:r>
          <w:r>
            <w:instrText xml:space="preserve"> PAGEREF _Toc14250004 \h </w:instrText>
          </w:r>
          <w:r>
            <w:fldChar w:fldCharType="separate"/>
          </w:r>
          <w:r>
            <w:t>161</w:t>
          </w:r>
          <w:r>
            <w:fldChar w:fldCharType="end"/>
          </w:r>
          <w:r>
            <w:fldChar w:fldCharType="end"/>
          </w:r>
        </w:p>
        <w:p>
          <w:pPr>
            <w:pStyle w:val="11"/>
            <w:tabs>
              <w:tab w:val="left" w:pos="1050"/>
              <w:tab w:val="right" w:leader="dot" w:pos="8296"/>
            </w:tabs>
          </w:pPr>
          <w:r>
            <w:fldChar w:fldCharType="begin"/>
          </w:r>
          <w:r>
            <w:instrText xml:space="preserve"> HYPERLINK \l "_Toc14250005" </w:instrText>
          </w:r>
          <w:r>
            <w:fldChar w:fldCharType="separate"/>
          </w:r>
          <w:r>
            <w:rPr>
              <w:rStyle w:val="16"/>
              <w:rFonts w:ascii="Times New Roman" w:hAnsi="Times New Roman" w:eastAsia="宋体" w:cs="Times New Roman"/>
            </w:rPr>
            <w:t>7、</w:t>
          </w:r>
          <w:r>
            <w:tab/>
          </w:r>
          <w:r>
            <w:rPr>
              <w:rStyle w:val="16"/>
              <w:rFonts w:ascii="宋体" w:hAnsi="宋体" w:eastAsia="宋体" w:cstheme="majorBidi"/>
            </w:rPr>
            <w:t>工作方案的先进性、创新性，技术、经济、质量指标，风险分析等。</w:t>
          </w:r>
          <w:r>
            <w:tab/>
          </w:r>
          <w:r>
            <w:fldChar w:fldCharType="begin"/>
          </w:r>
          <w:r>
            <w:instrText xml:space="preserve"> PAGEREF _Toc14250005 \h </w:instrText>
          </w:r>
          <w:r>
            <w:fldChar w:fldCharType="separate"/>
          </w:r>
          <w:r>
            <w:t>162</w:t>
          </w:r>
          <w:r>
            <w:fldChar w:fldCharType="end"/>
          </w:r>
          <w:r>
            <w:fldChar w:fldCharType="end"/>
          </w:r>
        </w:p>
        <w:p>
          <w:pPr>
            <w:pStyle w:val="11"/>
            <w:tabs>
              <w:tab w:val="left" w:pos="1050"/>
              <w:tab w:val="right" w:leader="dot" w:pos="8296"/>
            </w:tabs>
          </w:pPr>
          <w:r>
            <w:fldChar w:fldCharType="begin"/>
          </w:r>
          <w:r>
            <w:instrText xml:space="preserve"> HYPERLINK \l "_Toc14250006" </w:instrText>
          </w:r>
          <w:r>
            <w:fldChar w:fldCharType="separate"/>
          </w:r>
          <w:r>
            <w:rPr>
              <w:rStyle w:val="16"/>
              <w:rFonts w:ascii="Times New Roman" w:hAnsi="Times New Roman" w:eastAsia="宋体" w:cs="Times New Roman"/>
            </w:rPr>
            <w:t>8、</w:t>
          </w:r>
          <w:r>
            <w:tab/>
          </w:r>
          <w:r>
            <w:rPr>
              <w:rStyle w:val="16"/>
              <w:rFonts w:ascii="宋体" w:hAnsi="宋体" w:eastAsia="宋体" w:cstheme="majorBidi"/>
            </w:rPr>
            <w:t>对招标文件技术标准与要求的应答。</w:t>
          </w:r>
          <w:r>
            <w:tab/>
          </w:r>
          <w:r>
            <w:fldChar w:fldCharType="begin"/>
          </w:r>
          <w:r>
            <w:instrText xml:space="preserve"> PAGEREF _Toc14250006 \h </w:instrText>
          </w:r>
          <w:r>
            <w:fldChar w:fldCharType="separate"/>
          </w:r>
          <w:r>
            <w:t>165</w:t>
          </w:r>
          <w:r>
            <w:fldChar w:fldCharType="end"/>
          </w:r>
          <w:r>
            <w:fldChar w:fldCharType="end"/>
          </w:r>
        </w:p>
        <w:p>
          <w:pPr>
            <w:pStyle w:val="10"/>
            <w:tabs>
              <w:tab w:val="right" w:leader="dot" w:pos="8296"/>
            </w:tabs>
          </w:pPr>
          <w:r>
            <w:fldChar w:fldCharType="begin"/>
          </w:r>
          <w:r>
            <w:instrText xml:space="preserve"> HYPERLINK \l "_Toc14250017" </w:instrText>
          </w:r>
          <w:r>
            <w:fldChar w:fldCharType="separate"/>
          </w:r>
          <w:r>
            <w:rPr>
              <w:rStyle w:val="16"/>
              <w:rFonts w:ascii="宋体" w:hAnsi="宋体" w:eastAsia="宋体"/>
            </w:rPr>
            <w:t>三、合同履约及资信情况</w:t>
          </w:r>
          <w:r>
            <w:tab/>
          </w:r>
          <w:r>
            <w:fldChar w:fldCharType="begin"/>
          </w:r>
          <w:r>
            <w:instrText xml:space="preserve"> PAGEREF _Toc14250017 \h </w:instrText>
          </w:r>
          <w:r>
            <w:fldChar w:fldCharType="separate"/>
          </w:r>
          <w:r>
            <w:t>176</w:t>
          </w:r>
          <w:r>
            <w:fldChar w:fldCharType="end"/>
          </w:r>
          <w:r>
            <w:fldChar w:fldCharType="end"/>
          </w:r>
        </w:p>
        <w:p>
          <w:pPr>
            <w:pStyle w:val="10"/>
            <w:tabs>
              <w:tab w:val="right" w:leader="dot" w:pos="8296"/>
            </w:tabs>
          </w:pPr>
          <w:r>
            <w:fldChar w:fldCharType="begin"/>
          </w:r>
          <w:r>
            <w:instrText xml:space="preserve"> HYPERLINK \l "_Toc14250018" </w:instrText>
          </w:r>
          <w:r>
            <w:fldChar w:fldCharType="separate"/>
          </w:r>
          <w:r>
            <w:rPr>
              <w:rStyle w:val="16"/>
              <w:rFonts w:ascii="宋体" w:hAnsi="宋体" w:eastAsia="宋体"/>
            </w:rPr>
            <w:t>四、评标条件、标准及招标文件要求的其它内容</w:t>
          </w:r>
          <w:r>
            <w:tab/>
          </w:r>
          <w:r>
            <w:fldChar w:fldCharType="begin"/>
          </w:r>
          <w:r>
            <w:instrText xml:space="preserve"> PAGEREF _Toc14250018 \h </w:instrText>
          </w:r>
          <w:r>
            <w:fldChar w:fldCharType="separate"/>
          </w:r>
          <w:r>
            <w:t>188</w:t>
          </w:r>
          <w:r>
            <w:fldChar w:fldCharType="end"/>
          </w:r>
          <w:r>
            <w:fldChar w:fldCharType="end"/>
          </w:r>
        </w:p>
        <w:p>
          <w:pPr>
            <w:pStyle w:val="10"/>
            <w:tabs>
              <w:tab w:val="right" w:leader="dot" w:pos="8296"/>
            </w:tabs>
          </w:pPr>
          <w:r>
            <w:fldChar w:fldCharType="begin"/>
          </w:r>
          <w:r>
            <w:instrText xml:space="preserve"> HYPERLINK \l "_Toc14250019" </w:instrText>
          </w:r>
          <w:r>
            <w:fldChar w:fldCharType="separate"/>
          </w:r>
          <w:r>
            <w:rPr>
              <w:rStyle w:val="16"/>
              <w:rFonts w:ascii="宋体" w:hAnsi="宋体" w:eastAsia="宋体"/>
            </w:rPr>
            <w:t>五、投标人需说明的其它问题</w:t>
          </w:r>
          <w:r>
            <w:tab/>
          </w:r>
          <w:r>
            <w:fldChar w:fldCharType="begin"/>
          </w:r>
          <w:r>
            <w:instrText xml:space="preserve"> PAGEREF _Toc14250019 \h </w:instrText>
          </w:r>
          <w:r>
            <w:fldChar w:fldCharType="separate"/>
          </w:r>
          <w:r>
            <w:t>188</w:t>
          </w:r>
          <w:r>
            <w:fldChar w:fldCharType="end"/>
          </w:r>
          <w:r>
            <w:fldChar w:fldCharType="end"/>
          </w:r>
        </w:p>
        <w:p>
          <w:pPr>
            <w:pStyle w:val="10"/>
            <w:tabs>
              <w:tab w:val="right" w:leader="dot" w:pos="8296"/>
            </w:tabs>
          </w:pPr>
          <w:r>
            <w:fldChar w:fldCharType="begin"/>
          </w:r>
          <w:r>
            <w:instrText xml:space="preserve"> HYPERLINK \l "_Toc14250020" </w:instrText>
          </w:r>
          <w:r>
            <w:fldChar w:fldCharType="separate"/>
          </w:r>
          <w:r>
            <w:rPr>
              <w:rStyle w:val="16"/>
              <w:rFonts w:ascii="宋体" w:hAnsi="宋体" w:eastAsia="宋体"/>
            </w:rPr>
            <w:t>六、技术偏差表</w:t>
          </w:r>
          <w:r>
            <w:tab/>
          </w:r>
          <w:r>
            <w:fldChar w:fldCharType="begin"/>
          </w:r>
          <w:r>
            <w:instrText xml:space="preserve"> PAGEREF _Toc14250020 \h </w:instrText>
          </w:r>
          <w:r>
            <w:fldChar w:fldCharType="separate"/>
          </w:r>
          <w:r>
            <w:t>188</w:t>
          </w:r>
          <w:r>
            <w:fldChar w:fldCharType="end"/>
          </w:r>
          <w:r>
            <w:fldChar w:fldCharType="end"/>
          </w:r>
        </w:p>
        <w:p>
          <w:pPr>
            <w:rPr>
              <w:rFonts w:ascii="宋体" w:hAnsi="宋体" w:eastAsia="宋体"/>
            </w:rPr>
          </w:pPr>
          <w:r>
            <w:rPr>
              <w:rFonts w:ascii="宋体" w:hAnsi="宋体" w:eastAsia="宋体"/>
            </w:rPr>
            <w:fldChar w:fldCharType="end"/>
          </w:r>
        </w:p>
      </w:sdtContent>
    </w:sdt>
    <w:p>
      <w:pPr>
        <w:spacing w:line="360" w:lineRule="auto"/>
        <w:contextualSpacing/>
        <w:rPr>
          <w:rFonts w:ascii="宋体" w:hAnsi="宋体" w:eastAsia="宋体" w:cs="Times New Roman"/>
          <w:b/>
          <w:bCs/>
          <w:sz w:val="24"/>
          <w:szCs w:val="32"/>
        </w:rPr>
      </w:pPr>
    </w:p>
    <w:p>
      <w:pPr>
        <w:spacing w:line="360" w:lineRule="auto"/>
        <w:contextualSpacing/>
        <w:rPr>
          <w:rFonts w:ascii="宋体" w:hAnsi="宋体" w:eastAsia="宋体" w:cs="Times New Roman"/>
          <w:b/>
          <w:bCs/>
          <w:sz w:val="24"/>
          <w:szCs w:val="32"/>
        </w:rPr>
      </w:pPr>
    </w:p>
    <w:p>
      <w:pPr>
        <w:spacing w:line="360" w:lineRule="auto"/>
        <w:contextualSpacing/>
        <w:rPr>
          <w:rFonts w:ascii="宋体" w:hAnsi="宋体" w:eastAsia="宋体" w:cs="Times New Roman"/>
          <w:b/>
          <w:bCs/>
          <w:sz w:val="24"/>
          <w:szCs w:val="32"/>
        </w:rPr>
      </w:pPr>
    </w:p>
    <w:p>
      <w:pPr>
        <w:spacing w:line="360" w:lineRule="auto"/>
        <w:contextualSpacing/>
        <w:rPr>
          <w:rFonts w:ascii="宋体" w:hAnsi="宋体" w:eastAsia="宋体" w:cs="Times New Roman"/>
          <w:b/>
          <w:bCs/>
          <w:sz w:val="24"/>
          <w:szCs w:val="32"/>
        </w:rPr>
        <w:sectPr>
          <w:pgSz w:w="11906" w:h="16838"/>
          <w:pgMar w:top="1440" w:right="1800" w:bottom="1440" w:left="1800" w:header="851" w:footer="992" w:gutter="0"/>
          <w:cols w:space="425" w:num="1"/>
          <w:docGrid w:type="lines" w:linePitch="312" w:charSpace="0"/>
        </w:sectPr>
      </w:pPr>
    </w:p>
    <w:p>
      <w:pPr>
        <w:pStyle w:val="2"/>
        <w:ind w:left="420" w:hanging="420"/>
        <w:rPr>
          <w:rFonts w:ascii="宋体" w:hAnsi="宋体" w:eastAsia="宋体"/>
          <w:sz w:val="28"/>
        </w:rPr>
      </w:pPr>
      <w:bookmarkStart w:id="0" w:name="_Toc6182_WPSOffice_Level1"/>
      <w:bookmarkStart w:id="1" w:name="_Toc14249991"/>
      <w:r>
        <w:rPr>
          <w:rFonts w:hint="eastAsia" w:ascii="宋体" w:hAnsi="宋体" w:eastAsia="宋体"/>
          <w:sz w:val="28"/>
        </w:rPr>
        <w:t>一、投标人资格审查资料（技术）</w:t>
      </w:r>
      <w:bookmarkEnd w:id="0"/>
      <w:bookmarkEnd w:id="1"/>
    </w:p>
    <w:p>
      <w:pPr>
        <w:spacing w:line="360" w:lineRule="auto"/>
        <w:contextualSpacing/>
        <w:outlineLvl w:val="1"/>
        <w:rPr>
          <w:rFonts w:ascii="宋体" w:hAnsi="宋体" w:eastAsia="宋体" w:cs="Times New Roman"/>
          <w:szCs w:val="32"/>
        </w:rPr>
      </w:pPr>
      <w:bookmarkStart w:id="2" w:name="_Toc14249992"/>
      <w:r>
        <w:rPr>
          <w:rFonts w:hint="eastAsia" w:ascii="宋体" w:hAnsi="宋体" w:eastAsia="宋体" w:cs="Times New Roman"/>
          <w:b/>
          <w:bCs/>
          <w:szCs w:val="32"/>
        </w:rPr>
        <w:t>1、投标人概况表</w:t>
      </w:r>
      <w:bookmarkEnd w:id="2"/>
    </w:p>
    <w:p>
      <w:pPr>
        <w:suppressAutoHyphens/>
        <w:spacing w:line="360" w:lineRule="auto"/>
        <w:contextualSpacing/>
        <w:jc w:val="center"/>
        <w:outlineLvl w:val="2"/>
        <w:rPr>
          <w:rFonts w:ascii="宋体" w:hAnsi="宋体" w:eastAsia="宋体" w:cs="Times New Roman"/>
          <w:b/>
          <w:bCs/>
          <w:kern w:val="1"/>
          <w:sz w:val="24"/>
          <w:szCs w:val="20"/>
          <w:lang w:eastAsia="ar-SA"/>
        </w:rPr>
      </w:pPr>
      <w:r>
        <w:rPr>
          <w:rFonts w:hint="eastAsia" w:ascii="宋体" w:hAnsi="宋体" w:eastAsia="宋体" w:cs="Times New Roman"/>
          <w:b/>
          <w:bCs/>
          <w:kern w:val="1"/>
          <w:szCs w:val="20"/>
          <w:lang w:eastAsia="ar-SA"/>
        </w:rPr>
        <w:t>投标人概况表</w:t>
      </w:r>
    </w:p>
    <w:tbl>
      <w:tblPr>
        <w:tblStyle w:val="1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893"/>
        <w:gridCol w:w="946"/>
        <w:gridCol w:w="835"/>
        <w:gridCol w:w="418"/>
        <w:gridCol w:w="310"/>
        <w:gridCol w:w="1072"/>
        <w:gridCol w:w="133"/>
        <w:gridCol w:w="678"/>
        <w:gridCol w:w="1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投标人名称</w:t>
            </w:r>
          </w:p>
        </w:tc>
        <w:tc>
          <w:tcPr>
            <w:tcW w:w="6803" w:type="dxa"/>
            <w:gridSpan w:val="9"/>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四川大学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注册地址</w:t>
            </w:r>
          </w:p>
        </w:tc>
        <w:tc>
          <w:tcPr>
            <w:tcW w:w="3402" w:type="dxa"/>
            <w:gridSpan w:val="5"/>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四川省成都市一环路南一段24号</w:t>
            </w:r>
          </w:p>
        </w:tc>
        <w:tc>
          <w:tcPr>
            <w:tcW w:w="1072"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邮政编码</w:t>
            </w:r>
          </w:p>
        </w:tc>
        <w:tc>
          <w:tcPr>
            <w:tcW w:w="2329" w:type="dxa"/>
            <w:gridSpan w:val="3"/>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610065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719" w:type="dxa"/>
            <w:vMerge w:val="restart"/>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联系方式</w:t>
            </w:r>
          </w:p>
        </w:tc>
        <w:tc>
          <w:tcPr>
            <w:tcW w:w="893"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联系人</w:t>
            </w:r>
          </w:p>
        </w:tc>
        <w:tc>
          <w:tcPr>
            <w:tcW w:w="2509" w:type="dxa"/>
            <w:gridSpan w:val="4"/>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汤玉红</w:t>
            </w:r>
          </w:p>
        </w:tc>
        <w:tc>
          <w:tcPr>
            <w:tcW w:w="1072"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电 话</w:t>
            </w:r>
          </w:p>
        </w:tc>
        <w:tc>
          <w:tcPr>
            <w:tcW w:w="2329" w:type="dxa"/>
            <w:gridSpan w:val="3"/>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18683697862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1719" w:type="dxa"/>
            <w:vMerge w:val="continue"/>
            <w:vAlign w:val="center"/>
          </w:tcPr>
          <w:p>
            <w:pPr>
              <w:topLinePunct/>
              <w:spacing w:line="360" w:lineRule="auto"/>
              <w:contextualSpacing/>
              <w:jc w:val="center"/>
              <w:rPr>
                <w:rFonts w:ascii="宋体" w:hAnsi="宋体" w:eastAsia="宋体" w:cs="Times New Roman"/>
                <w:szCs w:val="21"/>
              </w:rPr>
            </w:pPr>
          </w:p>
        </w:tc>
        <w:tc>
          <w:tcPr>
            <w:tcW w:w="893"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传  真</w:t>
            </w:r>
          </w:p>
        </w:tc>
        <w:tc>
          <w:tcPr>
            <w:tcW w:w="2509" w:type="dxa"/>
            <w:gridSpan w:val="4"/>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028-85465996</w:t>
            </w:r>
          </w:p>
        </w:tc>
        <w:tc>
          <w:tcPr>
            <w:tcW w:w="1072"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网 址</w:t>
            </w:r>
          </w:p>
        </w:tc>
        <w:tc>
          <w:tcPr>
            <w:tcW w:w="2329" w:type="dxa"/>
            <w:gridSpan w:val="3"/>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宋体"/>
                <w:sz w:val="24"/>
                <w:szCs w:val="24"/>
              </w:rPr>
              <w:t>www.suc.edu.cn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4"/>
              </w:rPr>
              <w:t>主管部门（如有）</w:t>
            </w:r>
          </w:p>
        </w:tc>
        <w:tc>
          <w:tcPr>
            <w:tcW w:w="6803" w:type="dxa"/>
            <w:gridSpan w:val="9"/>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教育部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法定代表人</w:t>
            </w:r>
          </w:p>
        </w:tc>
        <w:tc>
          <w:tcPr>
            <w:tcW w:w="893"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姓名</w:t>
            </w:r>
          </w:p>
        </w:tc>
        <w:tc>
          <w:tcPr>
            <w:tcW w:w="946"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李言荣</w:t>
            </w:r>
          </w:p>
        </w:tc>
        <w:tc>
          <w:tcPr>
            <w:tcW w:w="1253"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技术职称</w:t>
            </w:r>
          </w:p>
        </w:tc>
        <w:tc>
          <w:tcPr>
            <w:tcW w:w="1382"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教授</w:t>
            </w:r>
          </w:p>
        </w:tc>
        <w:tc>
          <w:tcPr>
            <w:tcW w:w="811"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电话</w:t>
            </w:r>
          </w:p>
        </w:tc>
        <w:tc>
          <w:tcPr>
            <w:tcW w:w="1518"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028-85463956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技术负责人</w:t>
            </w:r>
          </w:p>
        </w:tc>
        <w:tc>
          <w:tcPr>
            <w:tcW w:w="893"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姓名</w:t>
            </w:r>
          </w:p>
        </w:tc>
        <w:tc>
          <w:tcPr>
            <w:tcW w:w="946"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宋体"/>
                <w:szCs w:val="21"/>
              </w:rPr>
              <w:t>刘俊勇</w:t>
            </w:r>
          </w:p>
        </w:tc>
        <w:tc>
          <w:tcPr>
            <w:tcW w:w="1253"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技术职称</w:t>
            </w:r>
          </w:p>
        </w:tc>
        <w:tc>
          <w:tcPr>
            <w:tcW w:w="1382"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教授</w:t>
            </w:r>
          </w:p>
        </w:tc>
        <w:tc>
          <w:tcPr>
            <w:tcW w:w="811"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电话</w:t>
            </w:r>
          </w:p>
        </w:tc>
        <w:tc>
          <w:tcPr>
            <w:tcW w:w="1518"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028-85463956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成立时间</w:t>
            </w:r>
          </w:p>
        </w:tc>
        <w:tc>
          <w:tcPr>
            <w:tcW w:w="1839"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1896.8.27</w:t>
            </w:r>
          </w:p>
        </w:tc>
        <w:tc>
          <w:tcPr>
            <w:tcW w:w="4964" w:type="dxa"/>
            <w:gridSpan w:val="7"/>
            <w:vAlign w:val="center"/>
          </w:tcPr>
          <w:p>
            <w:pPr>
              <w:topLinePunct/>
              <w:spacing w:line="360" w:lineRule="auto"/>
              <w:ind w:firstLine="105" w:firstLineChars="50"/>
              <w:contextualSpacing/>
              <w:jc w:val="center"/>
              <w:rPr>
                <w:rFonts w:ascii="宋体" w:hAnsi="宋体" w:eastAsia="宋体" w:cs="Times New Roman"/>
                <w:szCs w:val="21"/>
              </w:rPr>
            </w:pPr>
            <w:r>
              <w:rPr>
                <w:rFonts w:hint="eastAsia" w:ascii="宋体" w:hAnsi="宋体" w:eastAsia="宋体" w:cs="Times New Roman"/>
                <w:szCs w:val="21"/>
              </w:rPr>
              <w:t>员工总人数：9688人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8"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企业资质等级</w:t>
            </w:r>
          </w:p>
        </w:tc>
        <w:tc>
          <w:tcPr>
            <w:tcW w:w="1839"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事业单位</w:t>
            </w:r>
          </w:p>
        </w:tc>
        <w:tc>
          <w:tcPr>
            <w:tcW w:w="835" w:type="dxa"/>
            <w:vMerge w:val="restart"/>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其中</w:t>
            </w:r>
          </w:p>
        </w:tc>
        <w:tc>
          <w:tcPr>
            <w:tcW w:w="1933" w:type="dxa"/>
            <w:gridSpan w:val="4"/>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项目经理</w:t>
            </w:r>
          </w:p>
        </w:tc>
        <w:tc>
          <w:tcPr>
            <w:tcW w:w="2196"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217人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营业执照号</w:t>
            </w:r>
          </w:p>
        </w:tc>
        <w:tc>
          <w:tcPr>
            <w:tcW w:w="1839"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统一社会信用代码</w:t>
            </w:r>
          </w:p>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121000004000091949</w:t>
            </w:r>
          </w:p>
        </w:tc>
        <w:tc>
          <w:tcPr>
            <w:tcW w:w="835" w:type="dxa"/>
            <w:vMerge w:val="continue"/>
            <w:vAlign w:val="center"/>
          </w:tcPr>
          <w:p>
            <w:pPr>
              <w:topLinePunct/>
              <w:spacing w:line="360" w:lineRule="auto"/>
              <w:contextualSpacing/>
              <w:jc w:val="center"/>
              <w:rPr>
                <w:rFonts w:ascii="宋体" w:hAnsi="宋体" w:eastAsia="宋体" w:cs="Times New Roman"/>
                <w:szCs w:val="21"/>
              </w:rPr>
            </w:pPr>
          </w:p>
        </w:tc>
        <w:tc>
          <w:tcPr>
            <w:tcW w:w="1933" w:type="dxa"/>
            <w:gridSpan w:val="4"/>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高级职称人员</w:t>
            </w:r>
          </w:p>
        </w:tc>
        <w:tc>
          <w:tcPr>
            <w:tcW w:w="2196"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1733人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注册资金</w:t>
            </w:r>
          </w:p>
        </w:tc>
        <w:tc>
          <w:tcPr>
            <w:tcW w:w="1839"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128624万元</w:t>
            </w:r>
          </w:p>
        </w:tc>
        <w:tc>
          <w:tcPr>
            <w:tcW w:w="835" w:type="dxa"/>
            <w:vMerge w:val="continue"/>
            <w:vAlign w:val="center"/>
          </w:tcPr>
          <w:p>
            <w:pPr>
              <w:topLinePunct/>
              <w:spacing w:line="360" w:lineRule="auto"/>
              <w:contextualSpacing/>
              <w:jc w:val="center"/>
              <w:rPr>
                <w:rFonts w:ascii="宋体" w:hAnsi="宋体" w:eastAsia="宋体" w:cs="Times New Roman"/>
                <w:szCs w:val="21"/>
              </w:rPr>
            </w:pPr>
          </w:p>
        </w:tc>
        <w:tc>
          <w:tcPr>
            <w:tcW w:w="1933" w:type="dxa"/>
            <w:gridSpan w:val="4"/>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中级职称人员</w:t>
            </w:r>
          </w:p>
        </w:tc>
        <w:tc>
          <w:tcPr>
            <w:tcW w:w="2196"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1214人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开户银行</w:t>
            </w:r>
          </w:p>
        </w:tc>
        <w:tc>
          <w:tcPr>
            <w:tcW w:w="1839"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中国建设银行成都川大支行</w:t>
            </w:r>
          </w:p>
        </w:tc>
        <w:tc>
          <w:tcPr>
            <w:tcW w:w="835" w:type="dxa"/>
            <w:vMerge w:val="continue"/>
            <w:vAlign w:val="center"/>
          </w:tcPr>
          <w:p>
            <w:pPr>
              <w:topLinePunct/>
              <w:spacing w:line="360" w:lineRule="auto"/>
              <w:contextualSpacing/>
              <w:jc w:val="center"/>
              <w:rPr>
                <w:rFonts w:ascii="宋体" w:hAnsi="宋体" w:eastAsia="宋体" w:cs="Times New Roman"/>
                <w:szCs w:val="21"/>
              </w:rPr>
            </w:pPr>
          </w:p>
        </w:tc>
        <w:tc>
          <w:tcPr>
            <w:tcW w:w="1933" w:type="dxa"/>
            <w:gridSpan w:val="4"/>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初级职称人员</w:t>
            </w:r>
          </w:p>
        </w:tc>
        <w:tc>
          <w:tcPr>
            <w:tcW w:w="2196"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2005人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1719" w:type="dxa"/>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账号</w:t>
            </w:r>
          </w:p>
        </w:tc>
        <w:tc>
          <w:tcPr>
            <w:tcW w:w="1839"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51001870469059888666</w:t>
            </w:r>
          </w:p>
        </w:tc>
        <w:tc>
          <w:tcPr>
            <w:tcW w:w="835" w:type="dxa"/>
            <w:vMerge w:val="continue"/>
            <w:vAlign w:val="center"/>
          </w:tcPr>
          <w:p>
            <w:pPr>
              <w:topLinePunct/>
              <w:spacing w:line="360" w:lineRule="auto"/>
              <w:contextualSpacing/>
              <w:jc w:val="center"/>
              <w:rPr>
                <w:rFonts w:ascii="宋体" w:hAnsi="宋体" w:eastAsia="宋体" w:cs="Times New Roman"/>
                <w:szCs w:val="21"/>
              </w:rPr>
            </w:pPr>
          </w:p>
        </w:tc>
        <w:tc>
          <w:tcPr>
            <w:tcW w:w="1933" w:type="dxa"/>
            <w:gridSpan w:val="4"/>
            <w:vAlign w:val="center"/>
          </w:tcPr>
          <w:p>
            <w:pPr>
              <w:topLinePunct/>
              <w:spacing w:line="360" w:lineRule="auto"/>
              <w:contextualSpacing/>
              <w:jc w:val="center"/>
              <w:rPr>
                <w:rFonts w:ascii="宋体" w:hAnsi="宋体" w:eastAsia="宋体" w:cs="Times New Roman"/>
                <w:szCs w:val="24"/>
              </w:rPr>
            </w:pPr>
            <w:r>
              <w:rPr>
                <w:rFonts w:hint="eastAsia" w:ascii="宋体" w:hAnsi="宋体" w:eastAsia="宋体" w:cs="Times New Roman"/>
                <w:szCs w:val="21"/>
              </w:rPr>
              <w:t>技工</w:t>
            </w:r>
          </w:p>
        </w:tc>
        <w:tc>
          <w:tcPr>
            <w:tcW w:w="2196" w:type="dxa"/>
            <w:gridSpan w:val="2"/>
            <w:vAlign w:val="center"/>
          </w:tcPr>
          <w:p>
            <w:pPr>
              <w:topLinePunct/>
              <w:spacing w:line="360" w:lineRule="auto"/>
              <w:contextualSpacing/>
              <w:jc w:val="center"/>
              <w:rPr>
                <w:rFonts w:ascii="宋体" w:hAnsi="宋体" w:eastAsia="宋体" w:cs="Times New Roman"/>
                <w:szCs w:val="21"/>
              </w:rPr>
            </w:pPr>
            <w:r>
              <w:rPr>
                <w:rFonts w:hint="eastAsia" w:ascii="宋体" w:hAnsi="宋体" w:eastAsia="宋体" w:cs="Times New Roman"/>
                <w:szCs w:val="21"/>
              </w:rPr>
              <w:t>4882人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8" w:hRule="atLeast"/>
        </w:trPr>
        <w:tc>
          <w:tcPr>
            <w:tcW w:w="8522" w:type="dxa"/>
            <w:gridSpan w:val="10"/>
            <w:vAlign w:val="center"/>
          </w:tcPr>
          <w:p>
            <w:pPr>
              <w:topLinePunct/>
              <w:spacing w:line="360" w:lineRule="auto"/>
              <w:ind w:firstLine="210" w:firstLineChars="100"/>
              <w:contextualSpacing/>
              <w:jc w:val="left"/>
              <w:rPr>
                <w:rFonts w:ascii="宋体" w:hAnsi="宋体" w:eastAsia="宋体" w:cs="Times New Roman"/>
                <w:szCs w:val="21"/>
              </w:rPr>
            </w:pPr>
            <w:r>
              <w:rPr>
                <w:rFonts w:hint="eastAsia" w:ascii="宋体" w:hAnsi="宋体" w:eastAsia="宋体" w:cs="Times New Roman"/>
                <w:szCs w:val="21"/>
              </w:rPr>
              <w:t>单位概括（组织结构）等</w:t>
            </w:r>
          </w:p>
          <w:p>
            <w:pPr>
              <w:topLinePunct/>
              <w:spacing w:line="240" w:lineRule="auto"/>
              <w:ind w:firstLine="210" w:firstLineChars="100"/>
              <w:contextualSpacing/>
              <w:jc w:val="left"/>
              <w:rPr>
                <w:rFonts w:ascii="宋体" w:hAnsi="宋体" w:eastAsia="宋体" w:cs="Times New Roman"/>
                <w:szCs w:val="21"/>
              </w:rPr>
            </w:pPr>
            <w:r>
              <w:rPr>
                <w:rFonts w:hint="eastAsia" w:ascii="宋体" w:hAnsi="宋体" w:eastAsia="宋体" w:cs="Times New Roman"/>
                <w:szCs w:val="21"/>
              </w:rPr>
              <w:t>四川大学校党委常委、校党委书记王建国，校党委常委、校长、校党委副书记李言荣院士。四川大学大师云集，名师荟萃。截至2017年底，学校有专任教师5494人，具有正高级职称的1733人。学校有中国科学院和中国工程院院士15人，四川大学杰出教授5人，国家“千人计划”创新长期项目入选者15人、创新短期项目入选者17人、外专项目入选者4人，教育部“长江学者奖励计划”特聘教授43人、讲座教授16人，国家“万人计划”领军人才14人，国家自然科学杰出青年基金获得者50人，“四青”人才（国家“千人计划”青年项目入选者、教育部“长江学者奖励计划”青年项目入选者、国家“万人计划”青年拔尖人才、国家自然科学优秀青年基金获得者）104人次，“973”首席科学家9人，牵头“973”重大基础研究项目12项，重点研发计划项目负责人30人，国家社科基金重大招标（委托）项目获得者39人（42项），国家教学名师奖获得者12人，国家创新人才推进计划“中青年科技创新领军人才”15人，四川省“千人计划”（含原省“百人计划”）入选者123人。</w:t>
            </w:r>
          </w:p>
          <w:p>
            <w:pPr>
              <w:topLinePunct/>
              <w:spacing w:line="240" w:lineRule="auto"/>
              <w:ind w:firstLine="210" w:firstLineChars="100"/>
              <w:contextualSpacing/>
              <w:jc w:val="left"/>
              <w:rPr>
                <w:rFonts w:ascii="宋体" w:hAnsi="宋体" w:eastAsia="宋体" w:cs="Times New Roman"/>
                <w:szCs w:val="21"/>
              </w:rPr>
            </w:pPr>
            <w:r>
              <w:rPr>
                <w:rFonts w:hint="eastAsia" w:ascii="宋体" w:hAnsi="宋体" w:eastAsia="宋体" w:cs="Times New Roman"/>
                <w:szCs w:val="21"/>
              </w:rPr>
              <w:t xml:space="preserve">  四川大学学科门类齐全，覆盖了文、理、工、医、经、管、法、史、哲、农、教、艺等12个门类，有34个学科型学院及研究生院、海外教育学院等学院。现有博士学位授权一级学科45个，专业学位授权点32个，本科专业142个，博士后流动站37个，国家重点学科46个，国家重点培育学科4个，是国家首批工程博士培养单位。截至2017年底，学校进入ESI排名全球前1%的学科领域14个，其中，化学、材料科学学科领域进入全球前1‰。</w:t>
            </w:r>
          </w:p>
          <w:p>
            <w:pPr>
              <w:topLinePunct/>
              <w:spacing w:line="360" w:lineRule="auto"/>
              <w:contextualSpacing/>
              <w:jc w:val="center"/>
              <w:rPr>
                <w:rFonts w:ascii="宋体" w:hAnsi="宋体" w:eastAsia="宋体" w:cs="Times New Roman"/>
              </w:rPr>
            </w:pPr>
            <w:r>
              <w:rPr>
                <w:rFonts w:ascii="宋体" w:hAnsi="宋体" w:eastAsia="宋体" w:cs="Times New Roman"/>
              </w:rPr>
              <w:object>
                <v:shape id="_x0000_i1025" o:spt="75" type="#_x0000_t75" style="height:227pt;width:345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topLinePunct/>
              <w:spacing w:line="360" w:lineRule="auto"/>
              <w:contextualSpacing/>
              <w:jc w:val="left"/>
              <w:rPr>
                <w:rFonts w:ascii="宋体" w:hAnsi="宋体" w:eastAsia="宋体" w:cs="Times New Roman"/>
                <w:szCs w:val="21"/>
              </w:rPr>
            </w:pPr>
          </w:p>
          <w:p>
            <w:pPr>
              <w:topLinePunct/>
              <w:spacing w:line="360" w:lineRule="auto"/>
              <w:contextualSpacing/>
              <w:jc w:val="left"/>
              <w:rPr>
                <w:rFonts w:ascii="宋体" w:hAnsi="宋体" w:eastAsia="宋体" w:cs="Times New Roman"/>
                <w:szCs w:val="21"/>
              </w:rPr>
            </w:pPr>
          </w:p>
          <w:p>
            <w:pPr>
              <w:suppressAutoHyphens/>
              <w:snapToGrid w:val="0"/>
              <w:spacing w:line="360" w:lineRule="auto"/>
              <w:contextualSpacing/>
              <w:jc w:val="right"/>
              <w:rPr>
                <w:rFonts w:ascii="宋体" w:hAnsi="宋体" w:eastAsia="宋体" w:cs="Times New Roman"/>
                <w:kern w:val="1"/>
                <w:szCs w:val="24"/>
              </w:rPr>
            </w:pPr>
            <w:r>
              <w:rPr>
                <w:rFonts w:hint="eastAsia" w:ascii="宋体" w:hAnsi="宋体" w:eastAsia="宋体" w:cs="Times New Roman"/>
                <w:kern w:val="1"/>
                <w:szCs w:val="24"/>
              </w:rPr>
              <w:t>法定代表人或委托人：</w:t>
            </w:r>
            <w:r>
              <w:rPr>
                <w:rFonts w:hint="eastAsia" w:ascii="宋体" w:hAnsi="宋体" w:eastAsia="宋体" w:cs="Times New Roman"/>
                <w:kern w:val="1"/>
                <w:szCs w:val="24"/>
                <w:u w:val="single"/>
              </w:rPr>
              <w:t xml:space="preserve">         </w:t>
            </w:r>
            <w:r>
              <w:rPr>
                <w:rFonts w:hint="eastAsia" w:ascii="宋体" w:hAnsi="宋体" w:eastAsia="宋体" w:cs="Times New Roman"/>
                <w:kern w:val="1"/>
                <w:szCs w:val="24"/>
              </w:rPr>
              <w:t>（签名、盖章）</w:t>
            </w:r>
          </w:p>
          <w:p>
            <w:pPr>
              <w:suppressAutoHyphens/>
              <w:snapToGrid w:val="0"/>
              <w:spacing w:line="360" w:lineRule="auto"/>
              <w:contextualSpacing/>
              <w:jc w:val="center"/>
              <w:rPr>
                <w:rFonts w:ascii="宋体" w:hAnsi="宋体" w:eastAsia="宋体" w:cs="Times New Roman"/>
                <w:kern w:val="1"/>
                <w:szCs w:val="21"/>
                <w:lang w:eastAsia="ar-SA"/>
              </w:rPr>
            </w:pPr>
            <w:r>
              <w:rPr>
                <w:rFonts w:hint="eastAsia" w:ascii="宋体" w:hAnsi="宋体" w:eastAsia="宋体" w:cs="Times New Roman"/>
                <w:kern w:val="1"/>
                <w:szCs w:val="21"/>
              </w:rPr>
              <w:t xml:space="preserve">                                           </w:t>
            </w:r>
            <w:r>
              <w:rPr>
                <w:rFonts w:hint="eastAsia" w:ascii="宋体" w:hAnsi="宋体" w:eastAsia="宋体" w:cs="Times New Roman"/>
                <w:kern w:val="1"/>
                <w:szCs w:val="21"/>
                <w:lang w:eastAsia="ar-SA"/>
              </w:rPr>
              <w:t>投标人：</w:t>
            </w:r>
            <w:r>
              <w:rPr>
                <w:rFonts w:hint="eastAsia" w:ascii="宋体" w:hAnsi="宋体" w:eastAsia="宋体" w:cs="Times New Roman"/>
                <w:kern w:val="1"/>
                <w:szCs w:val="21"/>
                <w:u w:val="single"/>
              </w:rPr>
              <w:t xml:space="preserve"> 四川大学 </w:t>
            </w:r>
            <w:r>
              <w:rPr>
                <w:rFonts w:hint="eastAsia" w:ascii="宋体" w:hAnsi="宋体" w:eastAsia="宋体" w:cs="Times New Roman"/>
                <w:kern w:val="1"/>
                <w:szCs w:val="21"/>
                <w:lang w:eastAsia="ar-SA"/>
              </w:rPr>
              <w:t>（公章）</w:t>
            </w:r>
          </w:p>
          <w:p>
            <w:pPr>
              <w:suppressAutoHyphens/>
              <w:snapToGrid w:val="0"/>
              <w:spacing w:line="360" w:lineRule="auto"/>
              <w:contextualSpacing/>
              <w:jc w:val="right"/>
              <w:rPr>
                <w:rFonts w:ascii="宋体" w:hAnsi="宋体" w:eastAsia="宋体" w:cs="Times New Roman"/>
                <w:kern w:val="1"/>
                <w:szCs w:val="21"/>
                <w:lang w:eastAsia="ar-SA"/>
              </w:rPr>
            </w:pPr>
          </w:p>
          <w:p>
            <w:pPr>
              <w:suppressAutoHyphens/>
              <w:snapToGrid w:val="0"/>
              <w:spacing w:line="360" w:lineRule="auto"/>
              <w:contextualSpacing/>
              <w:jc w:val="right"/>
              <w:rPr>
                <w:rFonts w:ascii="宋体" w:hAnsi="宋体" w:eastAsia="宋体" w:cs="Times New Roman"/>
                <w:kern w:val="1"/>
                <w:szCs w:val="21"/>
                <w:lang w:eastAsia="ar-SA"/>
              </w:rPr>
            </w:pPr>
          </w:p>
          <w:p>
            <w:pPr>
              <w:suppressAutoHyphens/>
              <w:snapToGrid w:val="0"/>
              <w:spacing w:line="360" w:lineRule="auto"/>
              <w:contextualSpacing/>
              <w:jc w:val="right"/>
              <w:rPr>
                <w:rFonts w:ascii="宋体" w:hAnsi="宋体" w:eastAsia="宋体" w:cs="Times New Roman"/>
                <w:kern w:val="1"/>
                <w:szCs w:val="21"/>
                <w:lang w:eastAsia="ar-SA"/>
              </w:rPr>
            </w:pPr>
          </w:p>
        </w:tc>
      </w:tr>
    </w:tbl>
    <w:p>
      <w:pPr>
        <w:spacing w:line="360" w:lineRule="auto"/>
        <w:contextualSpacing/>
        <w:rPr>
          <w:rFonts w:ascii="宋体" w:hAnsi="宋体" w:eastAsia="宋体" w:cs="Times New Roman"/>
          <w:b/>
          <w:bCs/>
          <w:szCs w:val="32"/>
        </w:rPr>
      </w:pPr>
    </w:p>
    <w:p>
      <w:pPr>
        <w:spacing w:line="360" w:lineRule="auto"/>
        <w:contextualSpacing/>
        <w:outlineLvl w:val="1"/>
        <w:rPr>
          <w:rFonts w:ascii="宋体" w:hAnsi="宋体" w:eastAsia="宋体" w:cs="Times New Roman"/>
          <w:b/>
          <w:bCs/>
          <w:sz w:val="24"/>
          <w:szCs w:val="21"/>
        </w:rPr>
      </w:pPr>
      <w:bookmarkStart w:id="3" w:name="_Toc14249993"/>
      <w:r>
        <w:rPr>
          <w:rFonts w:hint="eastAsia" w:ascii="宋体" w:hAnsi="宋体" w:eastAsia="宋体" w:cs="Times New Roman"/>
          <w:b/>
          <w:bCs/>
          <w:szCs w:val="32"/>
        </w:rPr>
        <w:t>2、投标人项目经理简历表</w:t>
      </w:r>
      <w:bookmarkEnd w:id="3"/>
    </w:p>
    <w:p>
      <w:pPr>
        <w:suppressAutoHyphens/>
        <w:spacing w:line="360" w:lineRule="auto"/>
        <w:ind w:firstLine="420"/>
        <w:contextualSpacing/>
        <w:rPr>
          <w:rFonts w:ascii="宋体" w:hAnsi="宋体" w:eastAsia="宋体" w:cs="Times New Roman"/>
          <w:b/>
          <w:bCs/>
          <w:kern w:val="1"/>
          <w:sz w:val="24"/>
          <w:szCs w:val="21"/>
          <w:lang w:eastAsia="ar-SA"/>
        </w:rPr>
      </w:pPr>
      <w:r>
        <w:rPr>
          <w:rFonts w:hint="eastAsia" w:ascii="宋体" w:hAnsi="宋体" w:eastAsia="宋体" w:cs="Times New Roman"/>
          <w:kern w:val="1"/>
          <w:szCs w:val="20"/>
          <w:lang w:eastAsia="ar-SA"/>
        </w:rPr>
        <w:t>项目经理简历表应附</w:t>
      </w:r>
      <w:r>
        <w:rPr>
          <w:rFonts w:hint="eastAsia" w:ascii="宋体" w:hAnsi="宋体" w:eastAsia="宋体" w:cs="Times New Roman"/>
          <w:kern w:val="1"/>
          <w:szCs w:val="20"/>
        </w:rPr>
        <w:t>资质</w:t>
      </w:r>
      <w:r>
        <w:rPr>
          <w:rFonts w:hint="eastAsia" w:ascii="宋体" w:hAnsi="宋体" w:eastAsia="宋体" w:cs="Times New Roman"/>
          <w:kern w:val="1"/>
          <w:szCs w:val="20"/>
          <w:lang w:eastAsia="ar-SA"/>
        </w:rPr>
        <w:t>证、身份证、职称证、学历证、养老保险</w:t>
      </w:r>
      <w:r>
        <w:rPr>
          <w:rFonts w:hint="eastAsia" w:ascii="宋体" w:hAnsi="宋体" w:eastAsia="宋体" w:cs="Times New Roman"/>
          <w:kern w:val="1"/>
          <w:szCs w:val="20"/>
        </w:rPr>
        <w:t>影印</w:t>
      </w:r>
      <w:r>
        <w:rPr>
          <w:rFonts w:hint="eastAsia" w:ascii="宋体" w:hAnsi="宋体" w:eastAsia="宋体" w:cs="Times New Roman"/>
          <w:kern w:val="1"/>
          <w:szCs w:val="20"/>
          <w:lang w:eastAsia="ar-SA"/>
        </w:rPr>
        <w:t>件，</w:t>
      </w:r>
      <w:r>
        <w:rPr>
          <w:rFonts w:hint="eastAsia" w:ascii="宋体" w:hAnsi="宋体" w:eastAsia="宋体" w:cs="Times New Roman"/>
          <w:kern w:val="1"/>
          <w:szCs w:val="20"/>
        </w:rPr>
        <w:t>咨询（服务）</w:t>
      </w:r>
      <w:r>
        <w:rPr>
          <w:rFonts w:hint="eastAsia" w:ascii="宋体" w:hAnsi="宋体" w:eastAsia="宋体" w:cs="Times New Roman"/>
          <w:kern w:val="1"/>
          <w:szCs w:val="20"/>
          <w:lang w:eastAsia="ar-SA"/>
        </w:rPr>
        <w:t>过的项目业绩须附合同协议书</w:t>
      </w:r>
      <w:r>
        <w:rPr>
          <w:rFonts w:hint="eastAsia" w:ascii="宋体" w:hAnsi="宋体" w:eastAsia="宋体" w:cs="Times New Roman"/>
          <w:kern w:val="1"/>
          <w:szCs w:val="20"/>
        </w:rPr>
        <w:t>影印</w:t>
      </w:r>
      <w:r>
        <w:rPr>
          <w:rFonts w:hint="eastAsia" w:ascii="宋体" w:hAnsi="宋体" w:eastAsia="宋体" w:cs="Times New Roman"/>
          <w:kern w:val="1"/>
          <w:szCs w:val="20"/>
          <w:lang w:eastAsia="ar-SA"/>
        </w:rPr>
        <w:t>件</w:t>
      </w:r>
      <w:r>
        <w:rPr>
          <w:rFonts w:hint="eastAsia" w:ascii="宋体" w:hAnsi="宋体" w:eastAsia="宋体" w:cs="Times New Roman"/>
          <w:kern w:val="1"/>
          <w:szCs w:val="20"/>
        </w:rPr>
        <w:t>。</w:t>
      </w:r>
    </w:p>
    <w:p>
      <w:pPr>
        <w:topLinePunct/>
        <w:adjustRightInd w:val="0"/>
        <w:spacing w:before="160" w:after="60" w:line="360" w:lineRule="auto"/>
        <w:contextualSpacing/>
        <w:jc w:val="center"/>
        <w:textAlignment w:val="baseline"/>
        <w:outlineLvl w:val="2"/>
        <w:rPr>
          <w:rFonts w:ascii="宋体" w:hAnsi="宋体" w:eastAsia="宋体" w:cs="Times New Roman"/>
          <w:snapToGrid w:val="0"/>
          <w:szCs w:val="21"/>
        </w:rPr>
      </w:pPr>
      <w:r>
        <w:rPr>
          <w:rFonts w:hint="eastAsia" w:ascii="宋体" w:hAnsi="宋体" w:eastAsia="宋体" w:cs="Times New Roman"/>
          <w:snapToGrid w:val="0"/>
          <w:szCs w:val="21"/>
        </w:rPr>
        <w:t>项目经理简历表</w:t>
      </w:r>
    </w:p>
    <w:tbl>
      <w:tblPr>
        <w:tblStyle w:val="14"/>
        <w:tblW w:w="8523" w:type="dxa"/>
        <w:jc w:val="center"/>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521"/>
        <w:gridCol w:w="1525"/>
        <w:gridCol w:w="276"/>
        <w:gridCol w:w="1113"/>
        <w:gridCol w:w="544"/>
        <w:gridCol w:w="817"/>
        <w:gridCol w:w="1144"/>
        <w:gridCol w:w="317"/>
        <w:gridCol w:w="1266"/>
      </w:tblGrid>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姓名</w:t>
            </w:r>
          </w:p>
        </w:tc>
        <w:tc>
          <w:tcPr>
            <w:tcW w:w="152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宋体"/>
                <w:sz w:val="18"/>
                <w:szCs w:val="21"/>
              </w:rPr>
              <w:t>刘俊勇</w:t>
            </w:r>
          </w:p>
        </w:tc>
        <w:tc>
          <w:tcPr>
            <w:tcW w:w="1389"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性别</w:t>
            </w:r>
          </w:p>
        </w:tc>
        <w:tc>
          <w:tcPr>
            <w:tcW w:w="13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男</w:t>
            </w:r>
          </w:p>
        </w:tc>
        <w:tc>
          <w:tcPr>
            <w:tcW w:w="14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年龄</w:t>
            </w:r>
          </w:p>
        </w:tc>
        <w:tc>
          <w:tcPr>
            <w:tcW w:w="1266"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56</w:t>
            </w: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职务</w:t>
            </w:r>
          </w:p>
        </w:tc>
        <w:tc>
          <w:tcPr>
            <w:tcW w:w="152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宋体"/>
                <w:sz w:val="18"/>
                <w:szCs w:val="21"/>
              </w:rPr>
              <w:t>硕</w:t>
            </w:r>
            <w:r>
              <w:rPr>
                <w:rFonts w:hint="eastAsia" w:ascii="宋体" w:hAnsi="宋体" w:eastAsia="宋体" w:cs="Times New Roman"/>
                <w:sz w:val="18"/>
                <w:szCs w:val="21"/>
              </w:rPr>
              <w:t>/</w:t>
            </w:r>
            <w:r>
              <w:rPr>
                <w:rFonts w:hint="eastAsia" w:ascii="宋体" w:hAnsi="宋体" w:eastAsia="宋体" w:cs="宋体"/>
                <w:sz w:val="18"/>
                <w:szCs w:val="21"/>
              </w:rPr>
              <w:t>博士</w:t>
            </w:r>
            <w:r>
              <w:rPr>
                <w:rFonts w:hint="eastAsia" w:ascii="宋体" w:hAnsi="宋体" w:eastAsia="宋体" w:cs="___WRD_EMBED_SUB_39"/>
                <w:sz w:val="18"/>
                <w:szCs w:val="21"/>
              </w:rPr>
              <w:t>生导</w:t>
            </w:r>
            <w:r>
              <w:rPr>
                <w:rFonts w:hint="eastAsia" w:ascii="宋体" w:hAnsi="宋体" w:eastAsia="宋体" w:cs="宋体"/>
                <w:sz w:val="18"/>
                <w:szCs w:val="21"/>
              </w:rPr>
              <w:t>师</w:t>
            </w:r>
          </w:p>
        </w:tc>
        <w:tc>
          <w:tcPr>
            <w:tcW w:w="1389"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职称</w:t>
            </w:r>
          </w:p>
        </w:tc>
        <w:tc>
          <w:tcPr>
            <w:tcW w:w="13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教授</w:t>
            </w:r>
          </w:p>
        </w:tc>
        <w:tc>
          <w:tcPr>
            <w:tcW w:w="14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学历</w:t>
            </w:r>
          </w:p>
        </w:tc>
        <w:tc>
          <w:tcPr>
            <w:tcW w:w="1266"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博士</w:t>
            </w: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参加工作时间</w:t>
            </w:r>
          </w:p>
        </w:tc>
        <w:tc>
          <w:tcPr>
            <w:tcW w:w="3458" w:type="dxa"/>
            <w:gridSpan w:val="4"/>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1998年</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从事项目经理年限</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15年</w:t>
            </w: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523" w:type="dxa"/>
            <w:gridSpan w:val="9"/>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已完项目情况</w:t>
            </w: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项目名称</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项目</w:t>
            </w:r>
            <w:r>
              <w:rPr>
                <w:rFonts w:hint="eastAsia" w:ascii="宋体" w:hAnsi="宋体" w:eastAsia="宋体" w:cs="Times New Roman"/>
                <w:sz w:val="18"/>
                <w:szCs w:val="21"/>
                <w:lang w:eastAsia="ar-SA"/>
              </w:rPr>
              <w:t>规模</w:t>
            </w: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开始</w:t>
            </w:r>
            <w:r>
              <w:rPr>
                <w:rFonts w:hint="eastAsia" w:ascii="宋体" w:hAnsi="宋体" w:eastAsia="宋体" w:cs="Times New Roman"/>
                <w:sz w:val="18"/>
                <w:szCs w:val="21"/>
                <w:lang w:eastAsia="ar-SA"/>
              </w:rPr>
              <w:t>/</w:t>
            </w:r>
            <w:r>
              <w:rPr>
                <w:rFonts w:hint="eastAsia" w:ascii="宋体" w:hAnsi="宋体" w:eastAsia="宋体" w:cs="Times New Roman"/>
                <w:sz w:val="18"/>
                <w:szCs w:val="21"/>
              </w:rPr>
              <w:t>结束</w:t>
            </w:r>
            <w:r>
              <w:rPr>
                <w:rFonts w:hint="eastAsia" w:ascii="宋体" w:hAnsi="宋体" w:eastAsia="宋体" w:cs="Times New Roman"/>
                <w:sz w:val="18"/>
                <w:szCs w:val="21"/>
                <w:lang w:eastAsia="ar-SA"/>
              </w:rPr>
              <w:t>日期</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担负的技术职务</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获奖情况</w:t>
            </w: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全</w:t>
            </w:r>
            <w:r>
              <w:rPr>
                <w:rFonts w:hint="eastAsia" w:ascii="宋体" w:hAnsi="宋体" w:eastAsia="宋体" w:cs="宋体"/>
                <w:sz w:val="18"/>
                <w:szCs w:val="21"/>
                <w:lang w:eastAsia="ar-SA"/>
              </w:rPr>
              <w:t>球</w:t>
            </w:r>
            <w:r>
              <w:rPr>
                <w:rFonts w:hint="eastAsia" w:ascii="宋体" w:hAnsi="宋体" w:eastAsia="宋体" w:cs="___WRD_EMBED_SUB_39"/>
                <w:sz w:val="18"/>
                <w:szCs w:val="21"/>
                <w:lang w:eastAsia="ar-SA"/>
              </w:rPr>
              <w:t>能</w:t>
            </w:r>
            <w:r>
              <w:rPr>
                <w:rFonts w:hint="eastAsia" w:ascii="宋体" w:hAnsi="宋体" w:eastAsia="宋体" w:cs="宋体"/>
                <w:sz w:val="18"/>
                <w:szCs w:val="21"/>
                <w:lang w:eastAsia="ar-SA"/>
              </w:rPr>
              <w:t>源</w:t>
            </w:r>
            <w:r>
              <w:rPr>
                <w:rFonts w:hint="eastAsia" w:ascii="宋体" w:hAnsi="宋体" w:eastAsia="宋体" w:cs="___WRD_EMBED_SUB_39"/>
                <w:sz w:val="18"/>
                <w:szCs w:val="21"/>
                <w:lang w:eastAsia="ar-SA"/>
              </w:rPr>
              <w:t>互联网电力生产</w:t>
            </w:r>
            <w:r>
              <w:rPr>
                <w:rFonts w:hint="eastAsia" w:ascii="宋体" w:hAnsi="宋体" w:eastAsia="宋体" w:cs="宋体"/>
                <w:sz w:val="18"/>
                <w:szCs w:val="21"/>
                <w:lang w:eastAsia="ar-SA"/>
              </w:rPr>
              <w:t>模拟</w:t>
            </w:r>
            <w:r>
              <w:rPr>
                <w:rFonts w:hint="eastAsia" w:ascii="宋体" w:hAnsi="宋体" w:eastAsia="宋体" w:cs="___WRD_EMBED_SUB_39"/>
                <w:sz w:val="18"/>
                <w:szCs w:val="21"/>
                <w:lang w:eastAsia="ar-SA"/>
              </w:rPr>
              <w:t>关</w:t>
            </w:r>
            <w:r>
              <w:rPr>
                <w:rFonts w:hint="eastAsia" w:ascii="宋体" w:hAnsi="宋体" w:eastAsia="宋体" w:cs="宋体"/>
                <w:sz w:val="18"/>
                <w:szCs w:val="21"/>
                <w:lang w:eastAsia="ar-SA"/>
              </w:rPr>
              <w:t>键</w:t>
            </w:r>
            <w:r>
              <w:rPr>
                <w:rFonts w:hint="eastAsia" w:ascii="宋体" w:hAnsi="宋体" w:eastAsia="宋体" w:cs="___WRD_EMBED_SUB_39"/>
                <w:sz w:val="18"/>
                <w:szCs w:val="21"/>
                <w:lang w:eastAsia="ar-SA"/>
              </w:rPr>
              <w:t>技术研</w:t>
            </w:r>
            <w:r>
              <w:rPr>
                <w:rFonts w:hint="eastAsia" w:ascii="宋体" w:hAnsi="宋体" w:eastAsia="宋体" w:cs="Times New Roman"/>
                <w:sz w:val="18"/>
                <w:szCs w:val="21"/>
                <w:lang w:eastAsia="ar-SA"/>
              </w:rPr>
              <w:t>究及可视</w:t>
            </w:r>
            <w:r>
              <w:rPr>
                <w:rFonts w:hint="eastAsia" w:ascii="宋体" w:hAnsi="宋体" w:eastAsia="宋体" w:cs="宋体"/>
                <w:sz w:val="18"/>
                <w:szCs w:val="21"/>
                <w:lang w:eastAsia="ar-SA"/>
              </w:rPr>
              <w:t>化平台</w:t>
            </w:r>
            <w:r>
              <w:rPr>
                <w:rFonts w:hint="eastAsia" w:ascii="宋体" w:hAnsi="宋体" w:eastAsia="宋体" w:cs="___WRD_EMBED_SUB_39"/>
                <w:sz w:val="18"/>
                <w:szCs w:val="21"/>
                <w:lang w:eastAsia="ar-SA"/>
              </w:rPr>
              <w:t>研发</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40万</w:t>
            </w: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2016.1-2017.12</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rPr>
              <w:t>项目</w:t>
            </w:r>
            <w:r>
              <w:rPr>
                <w:rFonts w:ascii="宋体" w:hAnsi="宋体" w:eastAsia="宋体" w:cs="宋体"/>
                <w:sz w:val="18"/>
                <w:szCs w:val="21"/>
              </w:rPr>
              <w:t>负责人</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主动配电网关键技术研究及示范</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61万</w:t>
            </w:r>
          </w:p>
        </w:tc>
        <w:tc>
          <w:tcPr>
            <w:tcW w:w="1657" w:type="dxa"/>
            <w:gridSpan w:val="2"/>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2014.2-2017.2</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ascii="宋体" w:hAnsi="宋体" w:eastAsia="宋体" w:cs="Times New Roman"/>
                <w:sz w:val="18"/>
                <w:szCs w:val="21"/>
                <w:lang w:eastAsia="ar-SA"/>
              </w:rPr>
              <w:t>项目</w:t>
            </w:r>
            <w:r>
              <w:rPr>
                <w:rFonts w:ascii="宋体" w:hAnsi="宋体" w:eastAsia="宋体" w:cs="宋体"/>
                <w:sz w:val="18"/>
                <w:szCs w:val="21"/>
                <w:lang w:eastAsia="ar-SA"/>
              </w:rPr>
              <w:t>负责人</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主动配电网关键技术研究及示范（福建）</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531万</w:t>
            </w:r>
          </w:p>
        </w:tc>
        <w:tc>
          <w:tcPr>
            <w:tcW w:w="1657" w:type="dxa"/>
            <w:gridSpan w:val="2"/>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2014.2-2017.2</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ascii="宋体" w:hAnsi="宋体" w:eastAsia="宋体" w:cs="Times New Roman"/>
                <w:sz w:val="18"/>
                <w:szCs w:val="21"/>
                <w:lang w:eastAsia="ar-SA"/>
              </w:rPr>
              <w:t>项目</w:t>
            </w:r>
            <w:r>
              <w:rPr>
                <w:rFonts w:ascii="宋体" w:hAnsi="宋体" w:eastAsia="宋体" w:cs="宋体"/>
                <w:sz w:val="18"/>
                <w:szCs w:val="21"/>
                <w:lang w:eastAsia="ar-SA"/>
              </w:rPr>
              <w:t>负责人</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ascii="宋体" w:hAnsi="宋体" w:eastAsia="宋体" w:cs="Times New Roman"/>
                <w:sz w:val="18"/>
                <w:szCs w:val="21"/>
                <w:lang w:eastAsia="ar-SA"/>
              </w:rPr>
              <w:t>交直流</w:t>
            </w:r>
            <w:r>
              <w:rPr>
                <w:rFonts w:ascii="宋体" w:hAnsi="宋体" w:eastAsia="宋体" w:cs="宋体"/>
                <w:sz w:val="18"/>
                <w:szCs w:val="21"/>
                <w:lang w:eastAsia="ar-SA"/>
              </w:rPr>
              <w:t>混合的分布式可再生能源技术</w:t>
            </w:r>
            <w:r>
              <w:rPr>
                <w:rFonts w:hint="eastAsia" w:ascii="宋体" w:hAnsi="宋体" w:eastAsia="宋体" w:cs="宋体"/>
                <w:sz w:val="18"/>
                <w:szCs w:val="21"/>
              </w:rPr>
              <w:t>（国家项目配套）</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119万</w:t>
            </w: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2017.7-220.12</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ascii="宋体" w:hAnsi="宋体" w:eastAsia="宋体" w:cs="Times New Roman"/>
                <w:sz w:val="18"/>
                <w:szCs w:val="21"/>
                <w:lang w:eastAsia="ar-SA"/>
              </w:rPr>
              <w:t>技术</w:t>
            </w:r>
            <w:r>
              <w:rPr>
                <w:rFonts w:ascii="宋体" w:hAnsi="宋体" w:eastAsia="宋体" w:cs="宋体"/>
                <w:sz w:val="18"/>
                <w:szCs w:val="21"/>
                <w:lang w:eastAsia="ar-SA"/>
              </w:rPr>
              <w:t>骨干</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lang w:eastAsia="ar-SA"/>
              </w:rPr>
              <w:t>交直流</w:t>
            </w:r>
            <w:r>
              <w:rPr>
                <w:rFonts w:ascii="宋体" w:hAnsi="宋体" w:eastAsia="宋体" w:cs="宋体"/>
                <w:sz w:val="18"/>
                <w:szCs w:val="21"/>
                <w:lang w:eastAsia="ar-SA"/>
              </w:rPr>
              <w:t>混合的分布式可再生能源技术</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100万</w:t>
            </w: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2017.7-220.12</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ascii="宋体" w:hAnsi="宋体" w:eastAsia="宋体" w:cs="Times New Roman"/>
                <w:sz w:val="18"/>
                <w:szCs w:val="21"/>
                <w:lang w:eastAsia="ar-SA"/>
              </w:rPr>
              <w:t>技术</w:t>
            </w:r>
            <w:r>
              <w:rPr>
                <w:rFonts w:ascii="宋体" w:hAnsi="宋体" w:eastAsia="宋体" w:cs="宋体"/>
                <w:sz w:val="18"/>
                <w:szCs w:val="21"/>
                <w:lang w:eastAsia="ar-SA"/>
              </w:rPr>
              <w:t>骨干</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省地一体</w:t>
            </w:r>
            <w:r>
              <w:rPr>
                <w:rFonts w:hint="eastAsia" w:ascii="宋体" w:hAnsi="宋体" w:eastAsia="宋体" w:cs="宋体"/>
                <w:sz w:val="18"/>
                <w:szCs w:val="21"/>
                <w:lang w:eastAsia="ar-SA"/>
              </w:rPr>
              <w:t>化</w:t>
            </w:r>
            <w:r>
              <w:rPr>
                <w:rFonts w:hint="eastAsia" w:ascii="宋体" w:hAnsi="宋体" w:eastAsia="宋体" w:cs="___WRD_EMBED_SUB_39"/>
                <w:sz w:val="18"/>
                <w:szCs w:val="21"/>
                <w:lang w:eastAsia="ar-SA"/>
              </w:rPr>
              <w:t>信息系</w:t>
            </w:r>
            <w:r>
              <w:rPr>
                <w:rFonts w:hint="eastAsia" w:ascii="宋体" w:hAnsi="宋体" w:eastAsia="宋体" w:cs="宋体"/>
                <w:sz w:val="18"/>
                <w:szCs w:val="21"/>
                <w:lang w:eastAsia="ar-SA"/>
              </w:rPr>
              <w:t>统运</w:t>
            </w:r>
            <w:r>
              <w:rPr>
                <w:rFonts w:hint="eastAsia" w:ascii="宋体" w:hAnsi="宋体" w:eastAsia="宋体" w:cs="___WRD_EMBED_SUB_39"/>
                <w:sz w:val="18"/>
                <w:szCs w:val="21"/>
                <w:lang w:eastAsia="ar-SA"/>
              </w:rPr>
              <w:t>行</w:t>
            </w:r>
            <w:r>
              <w:rPr>
                <w:rFonts w:hint="eastAsia" w:ascii="宋体" w:hAnsi="宋体" w:eastAsia="宋体" w:cs="宋体"/>
                <w:sz w:val="18"/>
                <w:szCs w:val="21"/>
                <w:lang w:eastAsia="ar-SA"/>
              </w:rPr>
              <w:t>状态监</w:t>
            </w:r>
            <w:r>
              <w:rPr>
                <w:rFonts w:hint="eastAsia" w:ascii="宋体" w:hAnsi="宋体" w:eastAsia="宋体" w:cs="___WRD_EMBED_SUB_39"/>
                <w:sz w:val="18"/>
                <w:szCs w:val="21"/>
                <w:lang w:eastAsia="ar-SA"/>
              </w:rPr>
              <w:t>视与预</w:t>
            </w:r>
            <w:r>
              <w:rPr>
                <w:rFonts w:hint="eastAsia" w:ascii="宋体" w:hAnsi="宋体" w:eastAsia="宋体" w:cs="宋体"/>
                <w:sz w:val="18"/>
                <w:szCs w:val="21"/>
                <w:lang w:eastAsia="ar-SA"/>
              </w:rPr>
              <w:t>警平台</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174万</w:t>
            </w: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2015.10-2015.12</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rPr>
              <w:t>项目</w:t>
            </w:r>
            <w:r>
              <w:rPr>
                <w:rFonts w:ascii="宋体" w:hAnsi="宋体" w:eastAsia="宋体" w:cs="宋体"/>
                <w:sz w:val="18"/>
                <w:szCs w:val="21"/>
              </w:rPr>
              <w:t>负责人</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国网上</w:t>
            </w:r>
            <w:r>
              <w:rPr>
                <w:rFonts w:hint="eastAsia" w:ascii="宋体" w:hAnsi="宋体" w:eastAsia="宋体" w:cs="宋体"/>
                <w:sz w:val="18"/>
                <w:szCs w:val="21"/>
                <w:lang w:eastAsia="ar-SA"/>
              </w:rPr>
              <w:t>海</w:t>
            </w:r>
            <w:r>
              <w:rPr>
                <w:rFonts w:hint="eastAsia" w:ascii="宋体" w:hAnsi="宋体" w:eastAsia="宋体" w:cs="___WRD_EMBED_SUB_39"/>
                <w:sz w:val="18"/>
                <w:szCs w:val="21"/>
                <w:lang w:eastAsia="ar-SA"/>
              </w:rPr>
              <w:t>电</w:t>
            </w:r>
            <w:r>
              <w:rPr>
                <w:rFonts w:hint="eastAsia" w:ascii="宋体" w:hAnsi="宋体" w:eastAsia="宋体" w:cs="宋体"/>
                <w:sz w:val="18"/>
                <w:szCs w:val="21"/>
                <w:lang w:eastAsia="ar-SA"/>
              </w:rPr>
              <w:t>科院</w:t>
            </w:r>
            <w:r>
              <w:rPr>
                <w:rFonts w:hint="eastAsia" w:ascii="宋体" w:hAnsi="宋体" w:eastAsia="宋体" w:cs="___WRD_EMBED_SUB_39"/>
                <w:sz w:val="18"/>
                <w:szCs w:val="21"/>
                <w:lang w:eastAsia="ar-SA"/>
              </w:rPr>
              <w:t>电网</w:t>
            </w:r>
            <w:r>
              <w:rPr>
                <w:rFonts w:hint="eastAsia" w:ascii="宋体" w:hAnsi="宋体" w:eastAsia="宋体" w:cs="宋体"/>
                <w:sz w:val="18"/>
                <w:szCs w:val="21"/>
                <w:lang w:eastAsia="ar-SA"/>
              </w:rPr>
              <w:t>谐波数</w:t>
            </w:r>
            <w:r>
              <w:rPr>
                <w:rFonts w:hint="eastAsia" w:ascii="宋体" w:hAnsi="宋体" w:eastAsia="宋体" w:cs="___WRD_EMBED_SUB_39"/>
                <w:sz w:val="18"/>
                <w:szCs w:val="21"/>
                <w:lang w:eastAsia="ar-SA"/>
              </w:rPr>
              <w:t>据</w:t>
            </w:r>
            <w:r>
              <w:rPr>
                <w:rFonts w:hint="eastAsia" w:ascii="宋体" w:hAnsi="宋体" w:eastAsia="宋体" w:cs="宋体"/>
                <w:sz w:val="18"/>
                <w:szCs w:val="21"/>
                <w:lang w:eastAsia="ar-SA"/>
              </w:rPr>
              <w:t>状态</w:t>
            </w:r>
            <w:r>
              <w:rPr>
                <w:rFonts w:hint="eastAsia" w:ascii="宋体" w:hAnsi="宋体" w:eastAsia="宋体" w:cs="___WRD_EMBED_SUB_39"/>
                <w:sz w:val="18"/>
                <w:szCs w:val="21"/>
                <w:lang w:eastAsia="ar-SA"/>
              </w:rPr>
              <w:t>分</w:t>
            </w:r>
            <w:r>
              <w:rPr>
                <w:rFonts w:hint="eastAsia" w:ascii="宋体" w:hAnsi="宋体" w:eastAsia="宋体" w:cs="宋体"/>
                <w:sz w:val="18"/>
                <w:szCs w:val="21"/>
                <w:lang w:eastAsia="ar-SA"/>
              </w:rPr>
              <w:t>析</w:t>
            </w:r>
            <w:r>
              <w:rPr>
                <w:rFonts w:hint="eastAsia" w:ascii="宋体" w:hAnsi="宋体" w:eastAsia="宋体" w:cs="___WRD_EMBED_SUB_39"/>
                <w:sz w:val="18"/>
                <w:szCs w:val="21"/>
                <w:lang w:eastAsia="ar-SA"/>
              </w:rPr>
              <w:t>能力提</w:t>
            </w:r>
            <w:r>
              <w:rPr>
                <w:rFonts w:hint="eastAsia" w:ascii="宋体" w:hAnsi="宋体" w:eastAsia="宋体" w:cs="宋体"/>
                <w:sz w:val="18"/>
                <w:szCs w:val="21"/>
                <w:lang w:eastAsia="ar-SA"/>
              </w:rPr>
              <w:t>升</w:t>
            </w:r>
            <w:r>
              <w:rPr>
                <w:rFonts w:hint="eastAsia" w:ascii="宋体" w:hAnsi="宋体" w:eastAsia="宋体" w:cs="___WRD_EMBED_SUB_39"/>
                <w:sz w:val="18"/>
                <w:szCs w:val="21"/>
                <w:lang w:eastAsia="ar-SA"/>
              </w:rPr>
              <w:t>改造</w:t>
            </w:r>
            <w:r>
              <w:rPr>
                <w:rFonts w:hint="eastAsia" w:ascii="宋体" w:hAnsi="宋体" w:eastAsia="宋体" w:cs="宋体"/>
                <w:sz w:val="18"/>
                <w:szCs w:val="21"/>
                <w:lang w:eastAsia="ar-SA"/>
              </w:rPr>
              <w:t>仿</w:t>
            </w:r>
            <w:r>
              <w:rPr>
                <w:rFonts w:hint="eastAsia" w:ascii="宋体" w:hAnsi="宋体" w:eastAsia="宋体" w:cs="___WRD_EMBED_SUB_39"/>
                <w:sz w:val="18"/>
                <w:szCs w:val="21"/>
                <w:lang w:eastAsia="ar-SA"/>
              </w:rPr>
              <w:t>真</w:t>
            </w:r>
            <w:r>
              <w:rPr>
                <w:rFonts w:hint="eastAsia" w:ascii="宋体" w:hAnsi="宋体" w:eastAsia="宋体" w:cs="宋体"/>
                <w:sz w:val="18"/>
                <w:szCs w:val="21"/>
                <w:lang w:eastAsia="ar-SA"/>
              </w:rPr>
              <w:t>平台</w:t>
            </w:r>
            <w:r>
              <w:rPr>
                <w:rFonts w:hint="eastAsia" w:ascii="宋体" w:hAnsi="宋体" w:eastAsia="宋体" w:cs="___WRD_EMBED_SUB_39"/>
                <w:sz w:val="18"/>
                <w:szCs w:val="21"/>
                <w:lang w:eastAsia="ar-SA"/>
              </w:rPr>
              <w:t>计算</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80万</w:t>
            </w: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2017.11-2018.6</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rPr>
              <w:t>项目</w:t>
            </w:r>
            <w:r>
              <w:rPr>
                <w:rFonts w:ascii="宋体" w:hAnsi="宋体" w:eastAsia="宋体" w:cs="宋体"/>
                <w:sz w:val="18"/>
                <w:szCs w:val="21"/>
              </w:rPr>
              <w:t>负责人</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宋体"/>
                <w:sz w:val="18"/>
                <w:szCs w:val="21"/>
                <w:lang w:eastAsia="ar-SA"/>
              </w:rPr>
              <w:t>面</w:t>
            </w:r>
            <w:r>
              <w:rPr>
                <w:rFonts w:hint="eastAsia" w:ascii="宋体" w:hAnsi="宋体" w:eastAsia="宋体" w:cs="___WRD_EMBED_SUB_39"/>
                <w:sz w:val="18"/>
                <w:szCs w:val="21"/>
                <w:lang w:eastAsia="ar-SA"/>
              </w:rPr>
              <w:t>向分</w:t>
            </w:r>
            <w:r>
              <w:rPr>
                <w:rFonts w:hint="eastAsia" w:ascii="宋体" w:hAnsi="宋体" w:eastAsia="宋体" w:cs="宋体"/>
                <w:sz w:val="18"/>
                <w:szCs w:val="21"/>
                <w:lang w:eastAsia="ar-SA"/>
              </w:rPr>
              <w:t>布</w:t>
            </w:r>
            <w:r>
              <w:rPr>
                <w:rFonts w:hint="eastAsia" w:ascii="宋体" w:hAnsi="宋体" w:eastAsia="宋体" w:cs="___WRD_EMBED_SUB_39"/>
                <w:sz w:val="18"/>
                <w:szCs w:val="21"/>
                <w:lang w:eastAsia="ar-SA"/>
              </w:rPr>
              <w:t>式能</w:t>
            </w:r>
            <w:r>
              <w:rPr>
                <w:rFonts w:hint="eastAsia" w:ascii="宋体" w:hAnsi="宋体" w:eastAsia="宋体" w:cs="宋体"/>
                <w:sz w:val="18"/>
                <w:szCs w:val="21"/>
                <w:lang w:eastAsia="ar-SA"/>
              </w:rPr>
              <w:t>源</w:t>
            </w:r>
            <w:r>
              <w:rPr>
                <w:rFonts w:hint="eastAsia" w:ascii="宋体" w:hAnsi="宋体" w:eastAsia="宋体" w:cs="___WRD_EMBED_SUB_39"/>
                <w:sz w:val="18"/>
                <w:szCs w:val="21"/>
                <w:lang w:eastAsia="ar-SA"/>
              </w:rPr>
              <w:t>高</w:t>
            </w:r>
            <w:r>
              <w:rPr>
                <w:rFonts w:hint="eastAsia" w:ascii="宋体" w:hAnsi="宋体" w:eastAsia="宋体" w:cs="宋体"/>
                <w:sz w:val="18"/>
                <w:szCs w:val="21"/>
                <w:lang w:eastAsia="ar-SA"/>
              </w:rPr>
              <w:t>渗透</w:t>
            </w:r>
            <w:r>
              <w:rPr>
                <w:rFonts w:hint="eastAsia" w:ascii="宋体" w:hAnsi="宋体" w:eastAsia="宋体" w:cs="___WRD_EMBED_SUB_39"/>
                <w:sz w:val="18"/>
                <w:szCs w:val="21"/>
                <w:lang w:eastAsia="ar-SA"/>
              </w:rPr>
              <w:t>与大规</w:t>
            </w:r>
            <w:r>
              <w:rPr>
                <w:rFonts w:hint="eastAsia" w:ascii="宋体" w:hAnsi="宋体" w:eastAsia="宋体" w:cs="宋体"/>
                <w:sz w:val="18"/>
                <w:szCs w:val="21"/>
                <w:lang w:eastAsia="ar-SA"/>
              </w:rPr>
              <w:t>模</w:t>
            </w:r>
            <w:r>
              <w:rPr>
                <w:rFonts w:hint="eastAsia" w:ascii="宋体" w:hAnsi="宋体" w:eastAsia="宋体" w:cs="___WRD_EMBED_SUB_39"/>
                <w:sz w:val="18"/>
                <w:szCs w:val="21"/>
                <w:lang w:eastAsia="ar-SA"/>
              </w:rPr>
              <w:t>电动</w:t>
            </w:r>
            <w:r>
              <w:rPr>
                <w:rFonts w:hint="eastAsia" w:ascii="宋体" w:hAnsi="宋体" w:eastAsia="宋体" w:cs="宋体"/>
                <w:sz w:val="18"/>
                <w:szCs w:val="21"/>
                <w:lang w:eastAsia="ar-SA"/>
              </w:rPr>
              <w:t>汽车</w:t>
            </w:r>
            <w:r>
              <w:rPr>
                <w:rFonts w:hint="eastAsia" w:ascii="宋体" w:hAnsi="宋体" w:eastAsia="宋体" w:cs="___WRD_EMBED_SUB_39"/>
                <w:sz w:val="18"/>
                <w:szCs w:val="21"/>
                <w:lang w:eastAsia="ar-SA"/>
              </w:rPr>
              <w:t>接</w:t>
            </w:r>
            <w:r>
              <w:rPr>
                <w:rFonts w:hint="eastAsia" w:ascii="宋体" w:hAnsi="宋体" w:eastAsia="宋体" w:cs="宋体"/>
                <w:sz w:val="18"/>
                <w:szCs w:val="21"/>
                <w:lang w:eastAsia="ar-SA"/>
              </w:rPr>
              <w:t>入</w:t>
            </w:r>
            <w:r>
              <w:rPr>
                <w:rFonts w:hint="eastAsia" w:ascii="宋体" w:hAnsi="宋体" w:eastAsia="宋体" w:cs="___WRD_EMBED_SUB_39"/>
                <w:sz w:val="18"/>
                <w:szCs w:val="21"/>
                <w:lang w:eastAsia="ar-SA"/>
              </w:rPr>
              <w:t>的高</w:t>
            </w:r>
            <w:r>
              <w:rPr>
                <w:rFonts w:hint="eastAsia" w:ascii="宋体" w:hAnsi="宋体" w:eastAsia="宋体" w:cs="宋体"/>
                <w:sz w:val="18"/>
                <w:szCs w:val="21"/>
                <w:lang w:eastAsia="ar-SA"/>
              </w:rPr>
              <w:t>压配</w:t>
            </w:r>
            <w:r>
              <w:rPr>
                <w:rFonts w:hint="eastAsia" w:ascii="宋体" w:hAnsi="宋体" w:eastAsia="宋体" w:cs="___WRD_EMBED_SUB_39"/>
                <w:sz w:val="18"/>
                <w:szCs w:val="21"/>
                <w:lang w:eastAsia="ar-SA"/>
              </w:rPr>
              <w:t>电网</w:t>
            </w:r>
            <w:r>
              <w:rPr>
                <w:rFonts w:hint="eastAsia" w:ascii="宋体" w:hAnsi="宋体" w:eastAsia="宋体" w:cs="宋体"/>
                <w:sz w:val="18"/>
                <w:szCs w:val="21"/>
                <w:lang w:eastAsia="ar-SA"/>
              </w:rPr>
              <w:t>弹</w:t>
            </w:r>
            <w:r>
              <w:rPr>
                <w:rFonts w:hint="eastAsia" w:ascii="宋体" w:hAnsi="宋体" w:eastAsia="宋体" w:cs="___WRD_EMBED_SUB_39"/>
                <w:sz w:val="18"/>
                <w:szCs w:val="21"/>
                <w:lang w:eastAsia="ar-SA"/>
              </w:rPr>
              <w:t>性</w:t>
            </w:r>
            <w:r>
              <w:rPr>
                <w:rFonts w:hint="eastAsia" w:ascii="宋体" w:hAnsi="宋体" w:eastAsia="宋体" w:cs="宋体"/>
                <w:sz w:val="18"/>
                <w:szCs w:val="21"/>
                <w:lang w:eastAsia="ar-SA"/>
              </w:rPr>
              <w:t>运</w:t>
            </w:r>
            <w:r>
              <w:rPr>
                <w:rFonts w:hint="eastAsia" w:ascii="宋体" w:hAnsi="宋体" w:eastAsia="宋体" w:cs="___WRD_EMBED_SUB_39"/>
                <w:sz w:val="18"/>
                <w:szCs w:val="21"/>
                <w:lang w:eastAsia="ar-SA"/>
              </w:rPr>
              <w:t>行理</w:t>
            </w:r>
            <w:r>
              <w:rPr>
                <w:rFonts w:hint="eastAsia" w:ascii="宋体" w:hAnsi="宋体" w:eastAsia="宋体" w:cs="宋体"/>
                <w:sz w:val="18"/>
                <w:szCs w:val="21"/>
                <w:lang w:eastAsia="ar-SA"/>
              </w:rPr>
              <w:t>论</w:t>
            </w:r>
            <w:r>
              <w:rPr>
                <w:rFonts w:hint="eastAsia" w:ascii="宋体" w:hAnsi="宋体" w:eastAsia="宋体" w:cs="___WRD_EMBED_SUB_39"/>
                <w:sz w:val="18"/>
                <w:szCs w:val="21"/>
                <w:lang w:eastAsia="ar-SA"/>
              </w:rPr>
              <w:t>与关</w:t>
            </w:r>
            <w:r>
              <w:rPr>
                <w:rFonts w:hint="eastAsia" w:ascii="宋体" w:hAnsi="宋体" w:eastAsia="宋体" w:cs="宋体"/>
                <w:sz w:val="18"/>
                <w:szCs w:val="21"/>
                <w:lang w:eastAsia="ar-SA"/>
              </w:rPr>
              <w:t>键</w:t>
            </w:r>
            <w:r>
              <w:rPr>
                <w:rFonts w:hint="eastAsia" w:ascii="宋体" w:hAnsi="宋体" w:eastAsia="宋体" w:cs="___WRD_EMBED_SUB_39"/>
                <w:sz w:val="18"/>
                <w:szCs w:val="21"/>
                <w:lang w:eastAsia="ar-SA"/>
              </w:rPr>
              <w:t>技术研究</w:t>
            </w: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132万元</w:t>
            </w: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rPr>
              <w:t>2017-9——2018.12</w:t>
            </w: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rPr>
              <w:t>项目</w:t>
            </w:r>
            <w:r>
              <w:rPr>
                <w:rFonts w:ascii="宋体" w:hAnsi="宋体" w:eastAsia="宋体" w:cs="宋体"/>
                <w:sz w:val="18"/>
                <w:szCs w:val="21"/>
              </w:rPr>
              <w:t>负责人</w:t>
            </w: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r>
      <w:tr>
        <w:tblPrEx>
          <w:tblBorders>
            <w:top w:val="single" w:color="000000" w:sz="12" w:space="0"/>
            <w:left w:val="single" w:color="000000" w:sz="12" w:space="0"/>
            <w:bottom w:val="double" w:color="000000" w:sz="4"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521" w:type="dxa"/>
            <w:vAlign w:val="center"/>
          </w:tcPr>
          <w:p>
            <w:pPr>
              <w:adjustRightInd w:val="0"/>
              <w:snapToGrid w:val="0"/>
              <w:spacing w:before="60" w:after="60" w:line="360" w:lineRule="auto"/>
              <w:contextualSpacing/>
              <w:jc w:val="center"/>
              <w:rPr>
                <w:rFonts w:ascii="宋体" w:hAnsi="宋体" w:eastAsia="宋体" w:cs="宋体"/>
                <w:sz w:val="18"/>
                <w:szCs w:val="21"/>
                <w:lang w:eastAsia="ar-SA"/>
              </w:rPr>
            </w:pPr>
          </w:p>
        </w:tc>
        <w:tc>
          <w:tcPr>
            <w:tcW w:w="180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c>
          <w:tcPr>
            <w:tcW w:w="1657"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c>
          <w:tcPr>
            <w:tcW w:w="1961"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c>
          <w:tcPr>
            <w:tcW w:w="1583" w:type="dxa"/>
            <w:gridSpan w:val="2"/>
            <w:vAlign w:val="center"/>
          </w:tcPr>
          <w:p>
            <w:pPr>
              <w:adjustRightInd w:val="0"/>
              <w:snapToGrid w:val="0"/>
              <w:spacing w:before="60" w:after="60" w:line="360" w:lineRule="auto"/>
              <w:contextualSpacing/>
              <w:jc w:val="center"/>
              <w:rPr>
                <w:rFonts w:ascii="宋体" w:hAnsi="宋体" w:eastAsia="宋体" w:cs="Times New Roman"/>
                <w:sz w:val="18"/>
                <w:szCs w:val="21"/>
              </w:rPr>
            </w:pPr>
          </w:p>
        </w:tc>
      </w:tr>
    </w:tbl>
    <w:p>
      <w:pPr>
        <w:numPr>
          <w:ilvl w:val="0"/>
          <w:numId w:val="1"/>
        </w:numPr>
        <w:spacing w:line="360" w:lineRule="auto"/>
        <w:contextualSpacing/>
        <w:outlineLvl w:val="2"/>
        <w:rPr>
          <w:rFonts w:ascii="宋体" w:hAnsi="宋体" w:eastAsia="宋体" w:cs="Times New Roman"/>
          <w:b/>
          <w:bCs/>
          <w:szCs w:val="32"/>
        </w:rPr>
      </w:pPr>
      <w:r>
        <w:rPr>
          <w:rFonts w:hint="eastAsia" w:ascii="宋体" w:hAnsi="宋体" w:eastAsia="宋体" w:cs="Times New Roman"/>
          <w:b/>
          <w:bCs/>
          <w:szCs w:val="32"/>
        </w:rPr>
        <w:t>项目经理人证件</w:t>
      </w:r>
    </w:p>
    <w:p>
      <w:pPr>
        <w:spacing w:line="360" w:lineRule="auto"/>
        <w:contextualSpacing/>
        <w:outlineLvl w:val="1"/>
        <w:rPr>
          <w:rFonts w:ascii="宋体" w:hAnsi="宋体" w:eastAsia="宋体" w:cs="Times New Roman"/>
          <w:sz w:val="24"/>
          <w:szCs w:val="21"/>
        </w:rPr>
      </w:pPr>
      <w:bookmarkStart w:id="4" w:name="_Toc14249996"/>
      <w:r>
        <w:rPr>
          <w:rFonts w:hint="eastAsia" w:ascii="宋体" w:hAnsi="宋体" w:eastAsia="宋体" w:cs="Times New Roman"/>
          <w:b/>
          <w:bCs/>
          <w:szCs w:val="32"/>
        </w:rPr>
        <w:t>5、投标人主要技术装备</w:t>
      </w:r>
      <w:bookmarkEnd w:id="4"/>
    </w:p>
    <w:p>
      <w:pPr>
        <w:topLinePunct/>
        <w:adjustRightInd w:val="0"/>
        <w:spacing w:before="160" w:after="60" w:line="360" w:lineRule="auto"/>
        <w:contextualSpacing/>
        <w:jc w:val="center"/>
        <w:textAlignment w:val="baseline"/>
        <w:outlineLvl w:val="2"/>
        <w:rPr>
          <w:rFonts w:ascii="宋体" w:hAnsi="宋体" w:eastAsia="宋体" w:cs="Times New Roman"/>
          <w:snapToGrid w:val="0"/>
          <w:szCs w:val="21"/>
        </w:rPr>
      </w:pPr>
      <w:r>
        <w:rPr>
          <w:rFonts w:hint="eastAsia" w:ascii="宋体" w:hAnsi="宋体" w:eastAsia="宋体" w:cs="Times New Roman"/>
          <w:snapToGrid w:val="0"/>
          <w:szCs w:val="21"/>
        </w:rPr>
        <w:t>投标人主要技术装备表</w:t>
      </w:r>
    </w:p>
    <w:tbl>
      <w:tblPr>
        <w:tblStyle w:val="14"/>
        <w:tblW w:w="8522" w:type="dxa"/>
        <w:jc w:val="center"/>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703"/>
        <w:gridCol w:w="1045"/>
        <w:gridCol w:w="2360"/>
        <w:gridCol w:w="1712"/>
      </w:tblGrid>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PrEx>
        <w:trPr>
          <w:jc w:val="center"/>
        </w:trPr>
        <w:tc>
          <w:tcPr>
            <w:tcW w:w="1702"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名称</w:t>
            </w:r>
          </w:p>
        </w:tc>
        <w:tc>
          <w:tcPr>
            <w:tcW w:w="1703"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规格</w:t>
            </w:r>
          </w:p>
        </w:tc>
        <w:tc>
          <w:tcPr>
            <w:tcW w:w="1045"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数量</w:t>
            </w:r>
          </w:p>
        </w:tc>
        <w:tc>
          <w:tcPr>
            <w:tcW w:w="2360"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主要性能</w:t>
            </w:r>
          </w:p>
        </w:tc>
        <w:tc>
          <w:tcPr>
            <w:tcW w:w="1712"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备注</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PC电脑</w:t>
            </w:r>
          </w:p>
        </w:tc>
        <w:tc>
          <w:tcPr>
            <w:tcW w:w="1703"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高档台式机</w:t>
            </w:r>
          </w:p>
        </w:tc>
        <w:tc>
          <w:tcPr>
            <w:tcW w:w="1045"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 xml:space="preserve"> 60</w:t>
            </w:r>
          </w:p>
        </w:tc>
        <w:tc>
          <w:tcPr>
            <w:tcW w:w="2360"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CPU:I5 4570;</w:t>
            </w:r>
          </w:p>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HDD:1TB+64GBSSD；MEM:8GB</w:t>
            </w:r>
          </w:p>
        </w:tc>
        <w:tc>
          <w:tcPr>
            <w:tcW w:w="1712"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用于编程仿真；有丰富的Matpower、Python、BPA、PSASP等编程软件、仿真软件。</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IBM服务器、工作站</w:t>
            </w:r>
          </w:p>
        </w:tc>
        <w:tc>
          <w:tcPr>
            <w:tcW w:w="1703"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IBM服务器、工作站</w:t>
            </w:r>
          </w:p>
        </w:tc>
        <w:tc>
          <w:tcPr>
            <w:tcW w:w="1045"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20</w:t>
            </w:r>
          </w:p>
        </w:tc>
        <w:tc>
          <w:tcPr>
            <w:tcW w:w="2360"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Machinc Type:7915</w:t>
            </w:r>
          </w:p>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Model:AC1</w:t>
            </w:r>
          </w:p>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Srcrial NO:06CXZRF</w:t>
            </w:r>
          </w:p>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Product ID: 79150DQ</w:t>
            </w:r>
          </w:p>
        </w:tc>
        <w:tc>
          <w:tcPr>
            <w:tcW w:w="1712"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程序测试</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Spyder</w:t>
            </w:r>
          </w:p>
        </w:tc>
        <w:tc>
          <w:tcPr>
            <w:tcW w:w="1703"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p>
        </w:tc>
        <w:tc>
          <w:tcPr>
            <w:tcW w:w="1045"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w:t>
            </w:r>
          </w:p>
        </w:tc>
        <w:tc>
          <w:tcPr>
            <w:tcW w:w="2360"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编写数据挖掘相关算法</w:t>
            </w:r>
          </w:p>
        </w:tc>
        <w:tc>
          <w:tcPr>
            <w:tcW w:w="1712"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rPr>
              <w:t>数据挖掘算法的编写软件</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pandapower</w:t>
            </w:r>
          </w:p>
        </w:tc>
        <w:tc>
          <w:tcPr>
            <w:tcW w:w="1703" w:type="dxa"/>
            <w:vAlign w:val="center"/>
          </w:tcPr>
          <w:p>
            <w:pPr>
              <w:adjustRightInd w:val="0"/>
              <w:snapToGrid w:val="0"/>
              <w:spacing w:before="56" w:after="56" w:line="360" w:lineRule="auto"/>
              <w:contextualSpacing/>
              <w:jc w:val="center"/>
              <w:rPr>
                <w:rFonts w:ascii="宋体" w:hAnsi="宋体" w:eastAsia="宋体" w:cs="Times New Roman"/>
                <w:sz w:val="18"/>
                <w:szCs w:val="21"/>
                <w:lang w:eastAsia="ar-SA"/>
              </w:rPr>
            </w:pPr>
          </w:p>
        </w:tc>
        <w:tc>
          <w:tcPr>
            <w:tcW w:w="1045"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w:t>
            </w:r>
          </w:p>
        </w:tc>
        <w:tc>
          <w:tcPr>
            <w:tcW w:w="2360"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进行电力系统相关运算与仿真</w:t>
            </w:r>
          </w:p>
        </w:tc>
        <w:tc>
          <w:tcPr>
            <w:tcW w:w="1712" w:type="dxa"/>
            <w:vAlign w:val="center"/>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python中用于电力系统方面的工具包</w:t>
            </w:r>
          </w:p>
        </w:tc>
      </w:tr>
    </w:tbl>
    <w:p>
      <w:pPr>
        <w:pStyle w:val="18"/>
        <w:rPr>
          <w:rFonts w:ascii="宋体" w:hAnsi="宋体"/>
          <w:color w:val="auto"/>
        </w:rPr>
      </w:pPr>
    </w:p>
    <w:p>
      <w:pPr>
        <w:widowControl/>
        <w:spacing w:after="0" w:line="240" w:lineRule="auto"/>
        <w:jc w:val="left"/>
        <w:rPr>
          <w:rFonts w:ascii="宋体" w:hAnsi="宋体" w:eastAsia="宋体" w:cs="Times New Roman"/>
          <w:b/>
          <w:bCs/>
          <w:szCs w:val="32"/>
        </w:rPr>
      </w:pPr>
      <w:r>
        <w:rPr>
          <w:rFonts w:ascii="宋体" w:hAnsi="宋体" w:eastAsia="宋体" w:cs="Times New Roman"/>
          <w:b/>
          <w:bCs/>
          <w:szCs w:val="32"/>
        </w:rPr>
        <w:br w:type="page"/>
      </w:r>
    </w:p>
    <w:p>
      <w:pPr>
        <w:spacing w:line="360" w:lineRule="auto"/>
        <w:contextualSpacing/>
        <w:outlineLvl w:val="1"/>
        <w:rPr>
          <w:rFonts w:ascii="宋体" w:hAnsi="宋体" w:eastAsia="宋体" w:cs="Times New Roman"/>
          <w:kern w:val="1"/>
          <w:szCs w:val="32"/>
        </w:rPr>
      </w:pPr>
      <w:bookmarkStart w:id="5" w:name="_Toc14249997"/>
      <w:r>
        <w:rPr>
          <w:rFonts w:hint="eastAsia" w:ascii="宋体" w:hAnsi="宋体" w:eastAsia="宋体" w:cs="Times New Roman"/>
          <w:b/>
          <w:bCs/>
          <w:szCs w:val="32"/>
        </w:rPr>
        <w:t>6、</w:t>
      </w:r>
      <w:r>
        <w:rPr>
          <w:rFonts w:hint="eastAsia" w:ascii="宋体" w:hAnsi="宋体" w:eastAsia="宋体" w:cs="Times New Roman"/>
          <w:b/>
          <w:bCs/>
          <w:kern w:val="1"/>
          <w:szCs w:val="32"/>
        </w:rPr>
        <w:t>相似项目业绩和实施经验</w:t>
      </w:r>
      <w:bookmarkEnd w:id="5"/>
    </w:p>
    <w:p>
      <w:pPr>
        <w:spacing w:line="360" w:lineRule="auto"/>
        <w:ind w:firstLine="420" w:firstLineChars="200"/>
        <w:contextualSpacing/>
        <w:rPr>
          <w:rFonts w:ascii="宋体" w:hAnsi="宋体" w:eastAsia="宋体" w:cs="Times New Roman"/>
          <w:kern w:val="1"/>
          <w:szCs w:val="24"/>
        </w:rPr>
      </w:pPr>
      <w:r>
        <w:rPr>
          <w:rFonts w:hint="eastAsia" w:ascii="宋体" w:hAnsi="宋体" w:eastAsia="宋体" w:cs="Times New Roman"/>
          <w:kern w:val="1"/>
          <w:szCs w:val="24"/>
        </w:rPr>
        <w:t>投标人在投标截止日前五年内承担过的</w:t>
      </w:r>
      <w:r>
        <w:rPr>
          <w:rFonts w:hint="eastAsia" w:ascii="宋体" w:hAnsi="宋体" w:eastAsia="宋体" w:cs="Times New Roman"/>
          <w:szCs w:val="24"/>
        </w:rPr>
        <w:t>类似招标项目业绩</w:t>
      </w:r>
      <w:r>
        <w:rPr>
          <w:rFonts w:hint="eastAsia" w:ascii="宋体" w:hAnsi="宋体" w:eastAsia="宋体" w:cs="Times New Roman"/>
          <w:kern w:val="1"/>
          <w:szCs w:val="24"/>
        </w:rPr>
        <w:t>统计（格式见附表1），属于招标人的项目，仅需提供统计表，其他项目均应出具相关中标通知书或合同原件的影印件并提供用户信息备查，必要时将要求投标人提供原件。</w:t>
      </w:r>
    </w:p>
    <w:p>
      <w:pPr>
        <w:spacing w:line="360" w:lineRule="auto"/>
        <w:ind w:firstLine="420" w:firstLineChars="200"/>
        <w:contextualSpacing/>
        <w:rPr>
          <w:rFonts w:ascii="宋体" w:hAnsi="宋体" w:eastAsia="宋体" w:cs="Times New Roman"/>
          <w:kern w:val="1"/>
          <w:szCs w:val="32"/>
        </w:rPr>
      </w:pPr>
      <w:r>
        <w:rPr>
          <w:rFonts w:hint="eastAsia" w:ascii="宋体" w:hAnsi="宋体" w:eastAsia="宋体" w:cs="Times New Roman"/>
          <w:kern w:val="1"/>
          <w:szCs w:val="32"/>
        </w:rPr>
        <w:t>投标人正在（即将）实施招标项目简况（格式见附表2）</w:t>
      </w:r>
    </w:p>
    <w:p>
      <w:pPr>
        <w:spacing w:line="360" w:lineRule="auto"/>
        <w:ind w:firstLine="420" w:firstLineChars="200"/>
        <w:contextualSpacing/>
        <w:rPr>
          <w:rFonts w:ascii="宋体" w:hAnsi="宋体" w:eastAsia="宋体" w:cs="Times New Roman"/>
          <w:kern w:val="1"/>
          <w:szCs w:val="32"/>
        </w:rPr>
      </w:pPr>
      <w:r>
        <w:rPr>
          <w:rFonts w:hint="eastAsia" w:ascii="宋体" w:hAnsi="宋体" w:eastAsia="宋体" w:cs="Times New Roman"/>
          <w:kern w:val="1"/>
          <w:szCs w:val="32"/>
        </w:rPr>
        <w:t>附表1</w:t>
      </w:r>
    </w:p>
    <w:tbl>
      <w:tblPr>
        <w:tblStyle w:val="14"/>
        <w:tblW w:w="8522" w:type="dxa"/>
        <w:tblInd w:w="0" w:type="dxa"/>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8"/>
        <w:gridCol w:w="1219"/>
        <w:gridCol w:w="1215"/>
        <w:gridCol w:w="1216"/>
        <w:gridCol w:w="1215"/>
        <w:gridCol w:w="1215"/>
        <w:gridCol w:w="1224"/>
      </w:tblGrid>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218" w:type="dxa"/>
            <w:vAlign w:val="center"/>
          </w:tcPr>
          <w:p>
            <w:pPr>
              <w:suppressAutoHyphens/>
              <w:snapToGrid w:val="0"/>
              <w:spacing w:before="120" w:after="120" w:line="360" w:lineRule="auto"/>
              <w:contextualSpacing/>
              <w:jc w:val="center"/>
              <w:rPr>
                <w:rFonts w:ascii="宋体" w:hAnsi="宋体" w:eastAsia="宋体" w:cs="Times New Roman"/>
                <w:b/>
                <w:bCs/>
                <w:kern w:val="1"/>
                <w:szCs w:val="24"/>
                <w:lang w:eastAsia="ar-SA"/>
              </w:rPr>
            </w:pPr>
            <w:r>
              <w:rPr>
                <w:rFonts w:hint="eastAsia" w:ascii="宋体" w:hAnsi="宋体" w:eastAsia="宋体" w:cs="Times New Roman"/>
                <w:b/>
                <w:bCs/>
                <w:kern w:val="1"/>
                <w:szCs w:val="24"/>
                <w:lang w:eastAsia="ar-SA"/>
              </w:rPr>
              <w:t>序号</w:t>
            </w:r>
          </w:p>
        </w:tc>
        <w:tc>
          <w:tcPr>
            <w:tcW w:w="1219" w:type="dxa"/>
            <w:vAlign w:val="center"/>
          </w:tcPr>
          <w:p>
            <w:pPr>
              <w:suppressAutoHyphens/>
              <w:snapToGrid w:val="0"/>
              <w:spacing w:before="120" w:after="120" w:line="360" w:lineRule="auto"/>
              <w:contextualSpacing/>
              <w:jc w:val="center"/>
              <w:rPr>
                <w:rFonts w:ascii="宋体" w:hAnsi="宋体" w:eastAsia="宋体" w:cs="Times New Roman"/>
                <w:b/>
                <w:bCs/>
                <w:kern w:val="1"/>
                <w:szCs w:val="24"/>
                <w:lang w:eastAsia="ar-SA"/>
              </w:rPr>
            </w:pPr>
            <w:r>
              <w:rPr>
                <w:rFonts w:hint="eastAsia" w:ascii="宋体" w:hAnsi="宋体" w:eastAsia="宋体" w:cs="Times New Roman"/>
                <w:b/>
                <w:bCs/>
                <w:kern w:val="1"/>
                <w:szCs w:val="24"/>
              </w:rPr>
              <w:t>项目</w:t>
            </w:r>
            <w:r>
              <w:rPr>
                <w:rFonts w:hint="eastAsia" w:ascii="宋体" w:hAnsi="宋体" w:eastAsia="宋体" w:cs="Times New Roman"/>
                <w:b/>
                <w:bCs/>
                <w:kern w:val="1"/>
                <w:szCs w:val="24"/>
                <w:lang w:eastAsia="ar-SA"/>
              </w:rPr>
              <w:t>名称</w:t>
            </w:r>
          </w:p>
        </w:tc>
        <w:tc>
          <w:tcPr>
            <w:tcW w:w="1215" w:type="dxa"/>
            <w:vAlign w:val="center"/>
          </w:tcPr>
          <w:p>
            <w:pPr>
              <w:suppressAutoHyphens/>
              <w:snapToGrid w:val="0"/>
              <w:spacing w:before="120" w:after="120" w:line="360" w:lineRule="auto"/>
              <w:contextualSpacing/>
              <w:jc w:val="center"/>
              <w:rPr>
                <w:rFonts w:ascii="宋体" w:hAnsi="宋体" w:eastAsia="宋体" w:cs="Times New Roman"/>
                <w:b/>
                <w:bCs/>
                <w:kern w:val="1"/>
                <w:szCs w:val="24"/>
                <w:lang w:eastAsia="ar-SA"/>
              </w:rPr>
            </w:pPr>
            <w:r>
              <w:rPr>
                <w:rFonts w:hint="eastAsia" w:ascii="宋体" w:hAnsi="宋体" w:eastAsia="宋体" w:cs="Times New Roman"/>
                <w:b/>
                <w:bCs/>
                <w:kern w:val="1"/>
                <w:szCs w:val="24"/>
              </w:rPr>
              <w:t>项目</w:t>
            </w:r>
            <w:r>
              <w:rPr>
                <w:rFonts w:hint="eastAsia" w:ascii="宋体" w:hAnsi="宋体" w:eastAsia="宋体" w:cs="Times New Roman"/>
                <w:b/>
                <w:bCs/>
                <w:kern w:val="1"/>
                <w:szCs w:val="24"/>
                <w:lang w:eastAsia="ar-SA"/>
              </w:rPr>
              <w:t>地点</w:t>
            </w:r>
          </w:p>
        </w:tc>
        <w:tc>
          <w:tcPr>
            <w:tcW w:w="1216" w:type="dxa"/>
            <w:vAlign w:val="center"/>
          </w:tcPr>
          <w:p>
            <w:pPr>
              <w:suppressAutoHyphens/>
              <w:snapToGrid w:val="0"/>
              <w:spacing w:before="120" w:after="120" w:line="360" w:lineRule="auto"/>
              <w:contextualSpacing/>
              <w:jc w:val="center"/>
              <w:rPr>
                <w:rFonts w:ascii="宋体" w:hAnsi="宋体" w:eastAsia="宋体" w:cs="Times New Roman"/>
                <w:b/>
                <w:bCs/>
                <w:kern w:val="1"/>
                <w:szCs w:val="24"/>
                <w:lang w:eastAsia="ar-SA"/>
              </w:rPr>
            </w:pPr>
            <w:r>
              <w:rPr>
                <w:rFonts w:hint="eastAsia" w:ascii="宋体" w:hAnsi="宋体" w:eastAsia="宋体" w:cs="Times New Roman"/>
                <w:b/>
                <w:bCs/>
                <w:kern w:val="1"/>
                <w:szCs w:val="24"/>
                <w:lang w:eastAsia="ar-SA"/>
              </w:rPr>
              <w:t>项目法人</w:t>
            </w:r>
          </w:p>
        </w:tc>
        <w:tc>
          <w:tcPr>
            <w:tcW w:w="1215" w:type="dxa"/>
            <w:vAlign w:val="center"/>
          </w:tcPr>
          <w:p>
            <w:pPr>
              <w:suppressAutoHyphens/>
              <w:snapToGrid w:val="0"/>
              <w:spacing w:before="120" w:after="120" w:line="360" w:lineRule="auto"/>
              <w:contextualSpacing/>
              <w:jc w:val="center"/>
              <w:rPr>
                <w:rFonts w:ascii="宋体" w:hAnsi="宋体" w:eastAsia="宋体" w:cs="Times New Roman"/>
                <w:b/>
                <w:bCs/>
                <w:kern w:val="1"/>
                <w:szCs w:val="24"/>
                <w:lang w:eastAsia="ar-SA"/>
              </w:rPr>
            </w:pPr>
            <w:r>
              <w:rPr>
                <w:rFonts w:hint="eastAsia" w:ascii="宋体" w:hAnsi="宋体" w:eastAsia="宋体" w:cs="Times New Roman"/>
                <w:b/>
                <w:bCs/>
                <w:kern w:val="1"/>
                <w:szCs w:val="24"/>
              </w:rPr>
              <w:t>合同价格</w:t>
            </w:r>
          </w:p>
        </w:tc>
        <w:tc>
          <w:tcPr>
            <w:tcW w:w="1215" w:type="dxa"/>
            <w:vAlign w:val="center"/>
          </w:tcPr>
          <w:p>
            <w:pPr>
              <w:suppressAutoHyphens/>
              <w:snapToGrid w:val="0"/>
              <w:spacing w:before="120" w:after="120" w:line="360" w:lineRule="auto"/>
              <w:contextualSpacing/>
              <w:jc w:val="center"/>
              <w:rPr>
                <w:rFonts w:ascii="宋体" w:hAnsi="宋体" w:eastAsia="宋体" w:cs="Times New Roman"/>
                <w:b/>
                <w:bCs/>
                <w:kern w:val="1"/>
                <w:szCs w:val="24"/>
                <w:lang w:eastAsia="ar-SA"/>
              </w:rPr>
            </w:pPr>
            <w:r>
              <w:rPr>
                <w:rFonts w:hint="eastAsia" w:ascii="宋体" w:hAnsi="宋体" w:eastAsia="宋体" w:cs="Times New Roman"/>
                <w:b/>
                <w:bCs/>
                <w:kern w:val="1"/>
                <w:szCs w:val="24"/>
                <w:lang w:eastAsia="ar-SA"/>
              </w:rPr>
              <w:t>投产日期</w:t>
            </w:r>
          </w:p>
        </w:tc>
        <w:tc>
          <w:tcPr>
            <w:tcW w:w="1224" w:type="dxa"/>
            <w:vAlign w:val="center"/>
          </w:tcPr>
          <w:p>
            <w:pPr>
              <w:suppressAutoHyphens/>
              <w:snapToGrid w:val="0"/>
              <w:spacing w:before="120" w:after="120" w:line="360" w:lineRule="auto"/>
              <w:contextualSpacing/>
              <w:jc w:val="center"/>
              <w:rPr>
                <w:rFonts w:ascii="宋体" w:hAnsi="宋体" w:eastAsia="宋体" w:cs="Times New Roman"/>
                <w:b/>
                <w:bCs/>
                <w:kern w:val="1"/>
                <w:szCs w:val="24"/>
                <w:lang w:eastAsia="ar-SA"/>
              </w:rPr>
            </w:pPr>
            <w:r>
              <w:rPr>
                <w:rFonts w:hint="eastAsia" w:ascii="宋体" w:hAnsi="宋体" w:eastAsia="宋体" w:cs="Times New Roman"/>
                <w:b/>
                <w:bCs/>
                <w:kern w:val="1"/>
                <w:szCs w:val="24"/>
                <w:lang w:eastAsia="ar-SA"/>
              </w:rPr>
              <w:t>概要说明</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218"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w:t>
            </w:r>
          </w:p>
        </w:tc>
        <w:tc>
          <w:tcPr>
            <w:tcW w:w="1219"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全</w:t>
            </w:r>
            <w:r>
              <w:rPr>
                <w:rFonts w:hint="eastAsia" w:ascii="宋体" w:hAnsi="宋体" w:eastAsia="宋体" w:cs="宋体"/>
                <w:sz w:val="18"/>
                <w:szCs w:val="21"/>
                <w:lang w:eastAsia="ar-SA"/>
              </w:rPr>
              <w:t>球</w:t>
            </w:r>
            <w:r>
              <w:rPr>
                <w:rFonts w:hint="eastAsia" w:ascii="宋体" w:hAnsi="宋体" w:eastAsia="宋体" w:cs="___WRD_EMBED_SUB_39"/>
                <w:sz w:val="18"/>
                <w:szCs w:val="21"/>
                <w:lang w:eastAsia="ar-SA"/>
              </w:rPr>
              <w:t>能</w:t>
            </w:r>
            <w:r>
              <w:rPr>
                <w:rFonts w:hint="eastAsia" w:ascii="宋体" w:hAnsi="宋体" w:eastAsia="宋体" w:cs="宋体"/>
                <w:sz w:val="18"/>
                <w:szCs w:val="21"/>
                <w:lang w:eastAsia="ar-SA"/>
              </w:rPr>
              <w:t>源</w:t>
            </w:r>
            <w:r>
              <w:rPr>
                <w:rFonts w:hint="eastAsia" w:ascii="宋体" w:hAnsi="宋体" w:eastAsia="宋体" w:cs="___WRD_EMBED_SUB_39"/>
                <w:sz w:val="18"/>
                <w:szCs w:val="21"/>
                <w:lang w:eastAsia="ar-SA"/>
              </w:rPr>
              <w:t>互联网电力生产</w:t>
            </w:r>
            <w:r>
              <w:rPr>
                <w:rFonts w:hint="eastAsia" w:ascii="宋体" w:hAnsi="宋体" w:eastAsia="宋体" w:cs="宋体"/>
                <w:sz w:val="18"/>
                <w:szCs w:val="21"/>
                <w:lang w:eastAsia="ar-SA"/>
              </w:rPr>
              <w:t>模拟</w:t>
            </w:r>
            <w:r>
              <w:rPr>
                <w:rFonts w:hint="eastAsia" w:ascii="宋体" w:hAnsi="宋体" w:eastAsia="宋体" w:cs="___WRD_EMBED_SUB_39"/>
                <w:sz w:val="18"/>
                <w:szCs w:val="21"/>
                <w:lang w:eastAsia="ar-SA"/>
              </w:rPr>
              <w:t>关</w:t>
            </w:r>
            <w:r>
              <w:rPr>
                <w:rFonts w:hint="eastAsia" w:ascii="宋体" w:hAnsi="宋体" w:eastAsia="宋体" w:cs="宋体"/>
                <w:sz w:val="18"/>
                <w:szCs w:val="21"/>
                <w:lang w:eastAsia="ar-SA"/>
              </w:rPr>
              <w:t>键</w:t>
            </w:r>
            <w:r>
              <w:rPr>
                <w:rFonts w:hint="eastAsia" w:ascii="宋体" w:hAnsi="宋体" w:eastAsia="宋体" w:cs="___WRD_EMBED_SUB_39"/>
                <w:sz w:val="18"/>
                <w:szCs w:val="21"/>
                <w:lang w:eastAsia="ar-SA"/>
              </w:rPr>
              <w:t>技术研</w:t>
            </w:r>
            <w:r>
              <w:rPr>
                <w:rFonts w:hint="eastAsia" w:ascii="宋体" w:hAnsi="宋体" w:eastAsia="宋体" w:cs="Times New Roman"/>
                <w:sz w:val="18"/>
                <w:szCs w:val="21"/>
                <w:lang w:eastAsia="ar-SA"/>
              </w:rPr>
              <w:t xml:space="preserve"> 究及可视</w:t>
            </w:r>
            <w:r>
              <w:rPr>
                <w:rFonts w:hint="eastAsia" w:ascii="宋体" w:hAnsi="宋体" w:eastAsia="宋体" w:cs="宋体"/>
                <w:sz w:val="18"/>
                <w:szCs w:val="21"/>
                <w:lang w:eastAsia="ar-SA"/>
              </w:rPr>
              <w:t>化平台</w:t>
            </w:r>
            <w:r>
              <w:rPr>
                <w:rFonts w:hint="eastAsia" w:ascii="宋体" w:hAnsi="宋体" w:eastAsia="宋体" w:cs="___WRD_EMBED_SUB_39"/>
                <w:sz w:val="18"/>
                <w:szCs w:val="21"/>
                <w:lang w:eastAsia="ar-SA"/>
              </w:rPr>
              <w:t>研发</w:t>
            </w:r>
          </w:p>
        </w:tc>
        <w:tc>
          <w:tcPr>
            <w:tcW w:w="1215"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宋体"/>
                <w:sz w:val="18"/>
                <w:szCs w:val="21"/>
              </w:rPr>
              <w:t>江苏省</w:t>
            </w:r>
          </w:p>
        </w:tc>
        <w:tc>
          <w:tcPr>
            <w:tcW w:w="1216"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国网</w:t>
            </w:r>
            <w:r>
              <w:rPr>
                <w:rFonts w:hint="eastAsia" w:ascii="宋体" w:hAnsi="宋体" w:eastAsia="宋体" w:cs="宋体"/>
                <w:sz w:val="18"/>
                <w:szCs w:val="21"/>
                <w:lang w:eastAsia="ar-SA"/>
              </w:rPr>
              <w:t>江苏</w:t>
            </w:r>
            <w:r>
              <w:rPr>
                <w:rFonts w:hint="eastAsia" w:ascii="宋体" w:hAnsi="宋体" w:eastAsia="宋体" w:cs="___WRD_EMBED_SUB_39"/>
                <w:sz w:val="18"/>
                <w:szCs w:val="21"/>
                <w:lang w:eastAsia="ar-SA"/>
              </w:rPr>
              <w:t>省电力公司电力</w:t>
            </w:r>
            <w:r>
              <w:rPr>
                <w:rFonts w:hint="eastAsia" w:ascii="宋体" w:hAnsi="宋体" w:eastAsia="宋体" w:cs="宋体"/>
                <w:sz w:val="18"/>
                <w:szCs w:val="21"/>
                <w:lang w:eastAsia="ar-SA"/>
              </w:rPr>
              <w:t>科</w:t>
            </w:r>
            <w:r>
              <w:rPr>
                <w:rFonts w:hint="eastAsia" w:ascii="宋体" w:hAnsi="宋体" w:eastAsia="宋体" w:cs="___WRD_EMBED_SUB_39"/>
                <w:sz w:val="18"/>
                <w:szCs w:val="21"/>
                <w:lang w:eastAsia="ar-SA"/>
              </w:rPr>
              <w:t>学研究</w:t>
            </w:r>
            <w:r>
              <w:rPr>
                <w:rFonts w:hint="eastAsia" w:ascii="宋体" w:hAnsi="宋体" w:eastAsia="宋体" w:cs="宋体"/>
                <w:sz w:val="18"/>
                <w:szCs w:val="21"/>
                <w:lang w:eastAsia="ar-SA"/>
              </w:rPr>
              <w:t>院</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40万</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2016.1-2017.12</w:t>
            </w:r>
          </w:p>
        </w:tc>
        <w:tc>
          <w:tcPr>
            <w:tcW w:w="1224" w:type="dxa"/>
          </w:tcPr>
          <w:p>
            <w:pPr>
              <w:adjustRightInd w:val="0"/>
              <w:snapToGrid w:val="0"/>
              <w:spacing w:before="56" w:after="56" w:line="360" w:lineRule="auto"/>
              <w:contextualSpacing/>
              <w:jc w:val="center"/>
              <w:rPr>
                <w:rFonts w:ascii="宋体" w:hAnsi="宋体" w:eastAsia="宋体" w:cs="Times New Roman"/>
                <w:sz w:val="18"/>
                <w:szCs w:val="21"/>
                <w:lang w:eastAsia="ar-SA"/>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8"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w:t>
            </w:r>
          </w:p>
        </w:tc>
        <w:tc>
          <w:tcPr>
            <w:tcW w:w="1219" w:type="dxa"/>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主动配电网关键技术研究及示范</w:t>
            </w:r>
          </w:p>
        </w:tc>
        <w:tc>
          <w:tcPr>
            <w:tcW w:w="1215"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宋体"/>
                <w:sz w:val="18"/>
                <w:szCs w:val="21"/>
              </w:rPr>
              <w:t>北京市</w:t>
            </w:r>
          </w:p>
        </w:tc>
        <w:tc>
          <w:tcPr>
            <w:tcW w:w="1216"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国网</w:t>
            </w:r>
            <w:r>
              <w:rPr>
                <w:rFonts w:hint="eastAsia" w:ascii="宋体" w:hAnsi="宋体" w:eastAsia="宋体" w:cs="宋体"/>
                <w:sz w:val="18"/>
                <w:szCs w:val="21"/>
              </w:rPr>
              <w:t>北京</w:t>
            </w:r>
            <w:r>
              <w:rPr>
                <w:rFonts w:hint="eastAsia" w:ascii="宋体" w:hAnsi="宋体" w:eastAsia="宋体" w:cs="Times New Roman"/>
                <w:sz w:val="18"/>
                <w:szCs w:val="21"/>
                <w:lang w:eastAsia="ar-SA"/>
              </w:rPr>
              <w:t>市电力公司</w:t>
            </w:r>
          </w:p>
          <w:p>
            <w:pPr>
              <w:adjustRightInd w:val="0"/>
              <w:snapToGrid w:val="0"/>
              <w:spacing w:before="56" w:after="56" w:line="360" w:lineRule="auto"/>
              <w:contextualSpacing/>
              <w:jc w:val="center"/>
              <w:rPr>
                <w:rFonts w:ascii="宋体" w:hAnsi="宋体" w:eastAsia="宋体" w:cs="Times New Roman"/>
                <w:sz w:val="18"/>
                <w:szCs w:val="21"/>
                <w:lang w:eastAsia="ar-SA"/>
              </w:rPr>
            </w:pP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61万</w:t>
            </w:r>
          </w:p>
        </w:tc>
        <w:tc>
          <w:tcPr>
            <w:tcW w:w="1215" w:type="dxa"/>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2014.2-2017.2</w:t>
            </w:r>
          </w:p>
        </w:tc>
        <w:tc>
          <w:tcPr>
            <w:tcW w:w="1224" w:type="dxa"/>
          </w:tcPr>
          <w:p>
            <w:pPr>
              <w:adjustRightInd w:val="0"/>
              <w:snapToGrid w:val="0"/>
              <w:spacing w:before="56" w:after="56" w:line="360" w:lineRule="auto"/>
              <w:contextualSpacing/>
              <w:jc w:val="center"/>
              <w:rPr>
                <w:rFonts w:ascii="宋体" w:hAnsi="宋体" w:eastAsia="宋体" w:cs="Times New Roman"/>
                <w:sz w:val="18"/>
                <w:szCs w:val="21"/>
                <w:lang w:eastAsia="ar-SA"/>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8"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3</w:t>
            </w:r>
          </w:p>
        </w:tc>
        <w:tc>
          <w:tcPr>
            <w:tcW w:w="1219" w:type="dxa"/>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主动配电网关键技术研究及示范（福建）</w:t>
            </w:r>
          </w:p>
        </w:tc>
        <w:tc>
          <w:tcPr>
            <w:tcW w:w="1215" w:type="dxa"/>
          </w:tcPr>
          <w:p>
            <w:pPr>
              <w:rPr>
                <w:rFonts w:ascii="宋体" w:hAnsi="宋体" w:eastAsia="宋体"/>
              </w:rPr>
            </w:pPr>
            <w:r>
              <w:rPr>
                <w:rFonts w:hint="eastAsia" w:ascii="宋体" w:hAnsi="宋体" w:eastAsia="宋体" w:cs="宋体"/>
                <w:sz w:val="18"/>
                <w:szCs w:val="21"/>
              </w:rPr>
              <w:t>福建省</w:t>
            </w:r>
          </w:p>
        </w:tc>
        <w:tc>
          <w:tcPr>
            <w:tcW w:w="1216"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国网</w:t>
            </w:r>
            <w:r>
              <w:rPr>
                <w:rFonts w:hint="eastAsia" w:ascii="宋体" w:hAnsi="宋体" w:eastAsia="宋体" w:cs="宋体"/>
                <w:sz w:val="18"/>
                <w:szCs w:val="21"/>
                <w:lang w:eastAsia="ar-SA"/>
              </w:rPr>
              <w:t>福</w:t>
            </w:r>
            <w:r>
              <w:rPr>
                <w:rFonts w:hint="eastAsia" w:ascii="宋体" w:hAnsi="宋体" w:eastAsia="宋体" w:cs="___WRD_EMBED_SUB_39"/>
                <w:sz w:val="18"/>
                <w:szCs w:val="21"/>
                <w:lang w:eastAsia="ar-SA"/>
              </w:rPr>
              <w:t>建省电力有限公司电力</w:t>
            </w:r>
            <w:r>
              <w:rPr>
                <w:rFonts w:hint="eastAsia" w:ascii="宋体" w:hAnsi="宋体" w:eastAsia="宋体" w:cs="宋体"/>
                <w:sz w:val="18"/>
                <w:szCs w:val="21"/>
                <w:lang w:eastAsia="ar-SA"/>
              </w:rPr>
              <w:t>科</w:t>
            </w:r>
            <w:r>
              <w:rPr>
                <w:rFonts w:hint="eastAsia" w:ascii="宋体" w:hAnsi="宋体" w:eastAsia="宋体" w:cs="___WRD_EMBED_SUB_39"/>
                <w:sz w:val="18"/>
                <w:szCs w:val="21"/>
                <w:lang w:eastAsia="ar-SA"/>
              </w:rPr>
              <w:t>学研究</w:t>
            </w:r>
            <w:r>
              <w:rPr>
                <w:rFonts w:hint="eastAsia" w:ascii="宋体" w:hAnsi="宋体" w:eastAsia="宋体" w:cs="宋体"/>
                <w:sz w:val="18"/>
                <w:szCs w:val="21"/>
                <w:lang w:eastAsia="ar-SA"/>
              </w:rPr>
              <w:t>院</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531万</w:t>
            </w:r>
          </w:p>
        </w:tc>
        <w:tc>
          <w:tcPr>
            <w:tcW w:w="1215" w:type="dxa"/>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2014.2-2017.2</w:t>
            </w:r>
          </w:p>
        </w:tc>
        <w:tc>
          <w:tcPr>
            <w:tcW w:w="1224" w:type="dxa"/>
          </w:tcPr>
          <w:p>
            <w:pPr>
              <w:adjustRightInd w:val="0"/>
              <w:snapToGrid w:val="0"/>
              <w:spacing w:before="56" w:after="56" w:line="360" w:lineRule="auto"/>
              <w:contextualSpacing/>
              <w:jc w:val="center"/>
              <w:rPr>
                <w:rFonts w:ascii="宋体" w:hAnsi="宋体" w:eastAsia="宋体" w:cs="Times New Roman"/>
                <w:sz w:val="18"/>
                <w:szCs w:val="21"/>
                <w:lang w:eastAsia="ar-SA"/>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8"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4</w:t>
            </w:r>
          </w:p>
        </w:tc>
        <w:tc>
          <w:tcPr>
            <w:tcW w:w="1219"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省地一体</w:t>
            </w:r>
            <w:r>
              <w:rPr>
                <w:rFonts w:hint="eastAsia" w:ascii="宋体" w:hAnsi="宋体" w:eastAsia="宋体" w:cs="宋体"/>
                <w:sz w:val="18"/>
                <w:szCs w:val="21"/>
                <w:lang w:eastAsia="ar-SA"/>
              </w:rPr>
              <w:t>化</w:t>
            </w:r>
            <w:r>
              <w:rPr>
                <w:rFonts w:hint="eastAsia" w:ascii="宋体" w:hAnsi="宋体" w:eastAsia="宋体" w:cs="___WRD_EMBED_SUB_39"/>
                <w:sz w:val="18"/>
                <w:szCs w:val="21"/>
                <w:lang w:eastAsia="ar-SA"/>
              </w:rPr>
              <w:t>信息系</w:t>
            </w:r>
            <w:r>
              <w:rPr>
                <w:rFonts w:hint="eastAsia" w:ascii="宋体" w:hAnsi="宋体" w:eastAsia="宋体" w:cs="宋体"/>
                <w:sz w:val="18"/>
                <w:szCs w:val="21"/>
                <w:lang w:eastAsia="ar-SA"/>
              </w:rPr>
              <w:t>统运</w:t>
            </w:r>
            <w:r>
              <w:rPr>
                <w:rFonts w:hint="eastAsia" w:ascii="宋体" w:hAnsi="宋体" w:eastAsia="宋体" w:cs="___WRD_EMBED_SUB_39"/>
                <w:sz w:val="18"/>
                <w:szCs w:val="21"/>
                <w:lang w:eastAsia="ar-SA"/>
              </w:rPr>
              <w:t>行</w:t>
            </w:r>
            <w:r>
              <w:rPr>
                <w:rFonts w:hint="eastAsia" w:ascii="宋体" w:hAnsi="宋体" w:eastAsia="宋体" w:cs="宋体"/>
                <w:sz w:val="18"/>
                <w:szCs w:val="21"/>
                <w:lang w:eastAsia="ar-SA"/>
              </w:rPr>
              <w:t>状态监</w:t>
            </w:r>
            <w:r>
              <w:rPr>
                <w:rFonts w:hint="eastAsia" w:ascii="宋体" w:hAnsi="宋体" w:eastAsia="宋体" w:cs="___WRD_EMBED_SUB_39"/>
                <w:sz w:val="18"/>
                <w:szCs w:val="21"/>
                <w:lang w:eastAsia="ar-SA"/>
              </w:rPr>
              <w:t>视与预</w:t>
            </w:r>
            <w:r>
              <w:rPr>
                <w:rFonts w:hint="eastAsia" w:ascii="宋体" w:hAnsi="宋体" w:eastAsia="宋体" w:cs="宋体"/>
                <w:sz w:val="18"/>
                <w:szCs w:val="21"/>
                <w:lang w:eastAsia="ar-SA"/>
              </w:rPr>
              <w:t>警平台</w:t>
            </w:r>
          </w:p>
        </w:tc>
        <w:tc>
          <w:tcPr>
            <w:tcW w:w="1215"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四川省</w:t>
            </w:r>
          </w:p>
        </w:tc>
        <w:tc>
          <w:tcPr>
            <w:tcW w:w="1216"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国网四川省电力公司信息通信公司</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174万</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2015.10-2015.12</w:t>
            </w:r>
          </w:p>
        </w:tc>
        <w:tc>
          <w:tcPr>
            <w:tcW w:w="1224" w:type="dxa"/>
          </w:tcPr>
          <w:p>
            <w:pPr>
              <w:adjustRightInd w:val="0"/>
              <w:snapToGrid w:val="0"/>
              <w:spacing w:before="56" w:after="56" w:line="360" w:lineRule="auto"/>
              <w:contextualSpacing/>
              <w:jc w:val="center"/>
              <w:rPr>
                <w:rFonts w:ascii="宋体" w:hAnsi="宋体" w:eastAsia="宋体" w:cs="Times New Roman"/>
                <w:sz w:val="18"/>
                <w:szCs w:val="21"/>
                <w:lang w:eastAsia="ar-SA"/>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8"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5</w:t>
            </w:r>
          </w:p>
        </w:tc>
        <w:tc>
          <w:tcPr>
            <w:tcW w:w="1219"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国网上</w:t>
            </w:r>
            <w:r>
              <w:rPr>
                <w:rFonts w:hint="eastAsia" w:ascii="宋体" w:hAnsi="宋体" w:eastAsia="宋体" w:cs="宋体"/>
                <w:sz w:val="18"/>
                <w:szCs w:val="21"/>
                <w:lang w:eastAsia="ar-SA"/>
              </w:rPr>
              <w:t>海</w:t>
            </w:r>
            <w:r>
              <w:rPr>
                <w:rFonts w:hint="eastAsia" w:ascii="宋体" w:hAnsi="宋体" w:eastAsia="宋体" w:cs="___WRD_EMBED_SUB_39"/>
                <w:sz w:val="18"/>
                <w:szCs w:val="21"/>
                <w:lang w:eastAsia="ar-SA"/>
              </w:rPr>
              <w:t>电</w:t>
            </w:r>
            <w:r>
              <w:rPr>
                <w:rFonts w:hint="eastAsia" w:ascii="宋体" w:hAnsi="宋体" w:eastAsia="宋体" w:cs="宋体"/>
                <w:sz w:val="18"/>
                <w:szCs w:val="21"/>
                <w:lang w:eastAsia="ar-SA"/>
              </w:rPr>
              <w:t>科院</w:t>
            </w:r>
            <w:r>
              <w:rPr>
                <w:rFonts w:hint="eastAsia" w:ascii="宋体" w:hAnsi="宋体" w:eastAsia="宋体" w:cs="___WRD_EMBED_SUB_39"/>
                <w:sz w:val="18"/>
                <w:szCs w:val="21"/>
                <w:lang w:eastAsia="ar-SA"/>
              </w:rPr>
              <w:t>电网</w:t>
            </w:r>
            <w:r>
              <w:rPr>
                <w:rFonts w:hint="eastAsia" w:ascii="宋体" w:hAnsi="宋体" w:eastAsia="宋体" w:cs="宋体"/>
                <w:sz w:val="18"/>
                <w:szCs w:val="21"/>
                <w:lang w:eastAsia="ar-SA"/>
              </w:rPr>
              <w:t>谐波数</w:t>
            </w:r>
            <w:r>
              <w:rPr>
                <w:rFonts w:hint="eastAsia" w:ascii="宋体" w:hAnsi="宋体" w:eastAsia="宋体" w:cs="___WRD_EMBED_SUB_39"/>
                <w:sz w:val="18"/>
                <w:szCs w:val="21"/>
                <w:lang w:eastAsia="ar-SA"/>
              </w:rPr>
              <w:t>据</w:t>
            </w:r>
            <w:r>
              <w:rPr>
                <w:rFonts w:hint="eastAsia" w:ascii="宋体" w:hAnsi="宋体" w:eastAsia="宋体" w:cs="宋体"/>
                <w:sz w:val="18"/>
                <w:szCs w:val="21"/>
                <w:lang w:eastAsia="ar-SA"/>
              </w:rPr>
              <w:t>状态</w:t>
            </w:r>
            <w:r>
              <w:rPr>
                <w:rFonts w:hint="eastAsia" w:ascii="宋体" w:hAnsi="宋体" w:eastAsia="宋体" w:cs="___WRD_EMBED_SUB_39"/>
                <w:sz w:val="18"/>
                <w:szCs w:val="21"/>
                <w:lang w:eastAsia="ar-SA"/>
              </w:rPr>
              <w:t>分</w:t>
            </w:r>
            <w:r>
              <w:rPr>
                <w:rFonts w:hint="eastAsia" w:ascii="宋体" w:hAnsi="宋体" w:eastAsia="宋体" w:cs="宋体"/>
                <w:sz w:val="18"/>
                <w:szCs w:val="21"/>
                <w:lang w:eastAsia="ar-SA"/>
              </w:rPr>
              <w:t>析</w:t>
            </w:r>
            <w:r>
              <w:rPr>
                <w:rFonts w:hint="eastAsia" w:ascii="宋体" w:hAnsi="宋体" w:eastAsia="宋体" w:cs="___WRD_EMBED_SUB_39"/>
                <w:sz w:val="18"/>
                <w:szCs w:val="21"/>
                <w:lang w:eastAsia="ar-SA"/>
              </w:rPr>
              <w:t>能力提</w:t>
            </w:r>
            <w:r>
              <w:rPr>
                <w:rFonts w:hint="eastAsia" w:ascii="宋体" w:hAnsi="宋体" w:eastAsia="宋体" w:cs="宋体"/>
                <w:sz w:val="18"/>
                <w:szCs w:val="21"/>
                <w:lang w:eastAsia="ar-SA"/>
              </w:rPr>
              <w:t>升</w:t>
            </w:r>
            <w:r>
              <w:rPr>
                <w:rFonts w:hint="eastAsia" w:ascii="宋体" w:hAnsi="宋体" w:eastAsia="宋体" w:cs="___WRD_EMBED_SUB_39"/>
                <w:sz w:val="18"/>
                <w:szCs w:val="21"/>
                <w:lang w:eastAsia="ar-SA"/>
              </w:rPr>
              <w:t>改造</w:t>
            </w:r>
            <w:r>
              <w:rPr>
                <w:rFonts w:hint="eastAsia" w:ascii="宋体" w:hAnsi="宋体" w:eastAsia="宋体" w:cs="Times New Roman"/>
                <w:sz w:val="18"/>
                <w:szCs w:val="21"/>
                <w:lang w:eastAsia="ar-SA"/>
              </w:rPr>
              <w:t xml:space="preserve"> </w:t>
            </w:r>
            <w:r>
              <w:rPr>
                <w:rFonts w:hint="eastAsia" w:ascii="宋体" w:hAnsi="宋体" w:eastAsia="宋体" w:cs="宋体"/>
                <w:sz w:val="18"/>
                <w:szCs w:val="21"/>
                <w:lang w:eastAsia="ar-SA"/>
              </w:rPr>
              <w:t>仿</w:t>
            </w:r>
            <w:r>
              <w:rPr>
                <w:rFonts w:hint="eastAsia" w:ascii="宋体" w:hAnsi="宋体" w:eastAsia="宋体" w:cs="___WRD_EMBED_SUB_39"/>
                <w:sz w:val="18"/>
                <w:szCs w:val="21"/>
                <w:lang w:eastAsia="ar-SA"/>
              </w:rPr>
              <w:t>真</w:t>
            </w:r>
            <w:r>
              <w:rPr>
                <w:rFonts w:hint="eastAsia" w:ascii="宋体" w:hAnsi="宋体" w:eastAsia="宋体" w:cs="宋体"/>
                <w:sz w:val="18"/>
                <w:szCs w:val="21"/>
                <w:lang w:eastAsia="ar-SA"/>
              </w:rPr>
              <w:t>平台</w:t>
            </w:r>
            <w:r>
              <w:rPr>
                <w:rFonts w:hint="eastAsia" w:ascii="宋体" w:hAnsi="宋体" w:eastAsia="宋体" w:cs="___WRD_EMBED_SUB_39"/>
                <w:sz w:val="18"/>
                <w:szCs w:val="21"/>
                <w:lang w:eastAsia="ar-SA"/>
              </w:rPr>
              <w:t>计算</w:t>
            </w:r>
          </w:p>
        </w:tc>
        <w:tc>
          <w:tcPr>
            <w:tcW w:w="1215"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宋体"/>
                <w:sz w:val="18"/>
                <w:szCs w:val="21"/>
                <w:lang w:eastAsia="ar-SA"/>
              </w:rPr>
              <w:t>上海市</w:t>
            </w:r>
          </w:p>
        </w:tc>
        <w:tc>
          <w:tcPr>
            <w:tcW w:w="1216"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宋体"/>
                <w:sz w:val="18"/>
                <w:szCs w:val="21"/>
                <w:lang w:eastAsia="ar-SA"/>
              </w:rPr>
              <w:t>北京臻迪科技股份有限公司</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80万</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2017.11-2018.6</w:t>
            </w:r>
          </w:p>
        </w:tc>
        <w:tc>
          <w:tcPr>
            <w:tcW w:w="1224" w:type="dxa"/>
          </w:tcPr>
          <w:p>
            <w:pPr>
              <w:adjustRightInd w:val="0"/>
              <w:snapToGrid w:val="0"/>
              <w:spacing w:before="56" w:after="56" w:line="360" w:lineRule="auto"/>
              <w:contextualSpacing/>
              <w:jc w:val="center"/>
              <w:rPr>
                <w:rFonts w:ascii="宋体" w:hAnsi="宋体" w:eastAsia="宋体" w:cs="Times New Roman"/>
                <w:sz w:val="18"/>
                <w:szCs w:val="21"/>
                <w:lang w:eastAsia="ar-SA"/>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8" w:type="dxa"/>
          </w:tcPr>
          <w:p>
            <w:pPr>
              <w:adjustRightInd w:val="0"/>
              <w:snapToGrid w:val="0"/>
              <w:spacing w:before="56" w:after="56"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6</w:t>
            </w:r>
          </w:p>
        </w:tc>
        <w:tc>
          <w:tcPr>
            <w:tcW w:w="1219"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hint="eastAsia" w:ascii="宋体" w:hAnsi="宋体" w:eastAsia="宋体" w:cs="宋体"/>
                <w:sz w:val="18"/>
                <w:szCs w:val="21"/>
                <w:lang w:eastAsia="ar-SA"/>
              </w:rPr>
              <w:t>面</w:t>
            </w:r>
            <w:r>
              <w:rPr>
                <w:rFonts w:hint="eastAsia" w:ascii="宋体" w:hAnsi="宋体" w:eastAsia="宋体" w:cs="___WRD_EMBED_SUB_39"/>
                <w:sz w:val="18"/>
                <w:szCs w:val="21"/>
                <w:lang w:eastAsia="ar-SA"/>
              </w:rPr>
              <w:t>向分</w:t>
            </w:r>
            <w:r>
              <w:rPr>
                <w:rFonts w:hint="eastAsia" w:ascii="宋体" w:hAnsi="宋体" w:eastAsia="宋体" w:cs="宋体"/>
                <w:sz w:val="18"/>
                <w:szCs w:val="21"/>
                <w:lang w:eastAsia="ar-SA"/>
              </w:rPr>
              <w:t>布</w:t>
            </w:r>
            <w:r>
              <w:rPr>
                <w:rFonts w:hint="eastAsia" w:ascii="宋体" w:hAnsi="宋体" w:eastAsia="宋体" w:cs="___WRD_EMBED_SUB_39"/>
                <w:sz w:val="18"/>
                <w:szCs w:val="21"/>
                <w:lang w:eastAsia="ar-SA"/>
              </w:rPr>
              <w:t>式能</w:t>
            </w:r>
            <w:r>
              <w:rPr>
                <w:rFonts w:hint="eastAsia" w:ascii="宋体" w:hAnsi="宋体" w:eastAsia="宋体" w:cs="宋体"/>
                <w:sz w:val="18"/>
                <w:szCs w:val="21"/>
                <w:lang w:eastAsia="ar-SA"/>
              </w:rPr>
              <w:t>源</w:t>
            </w:r>
            <w:r>
              <w:rPr>
                <w:rFonts w:hint="eastAsia" w:ascii="宋体" w:hAnsi="宋体" w:eastAsia="宋体" w:cs="___WRD_EMBED_SUB_39"/>
                <w:sz w:val="18"/>
                <w:szCs w:val="21"/>
                <w:lang w:eastAsia="ar-SA"/>
              </w:rPr>
              <w:t>高</w:t>
            </w:r>
            <w:r>
              <w:rPr>
                <w:rFonts w:hint="eastAsia" w:ascii="宋体" w:hAnsi="宋体" w:eastAsia="宋体" w:cs="宋体"/>
                <w:sz w:val="18"/>
                <w:szCs w:val="21"/>
                <w:lang w:eastAsia="ar-SA"/>
              </w:rPr>
              <w:t>渗透</w:t>
            </w:r>
            <w:r>
              <w:rPr>
                <w:rFonts w:hint="eastAsia" w:ascii="宋体" w:hAnsi="宋体" w:eastAsia="宋体" w:cs="___WRD_EMBED_SUB_39"/>
                <w:sz w:val="18"/>
                <w:szCs w:val="21"/>
                <w:lang w:eastAsia="ar-SA"/>
              </w:rPr>
              <w:t>与大规</w:t>
            </w:r>
            <w:r>
              <w:rPr>
                <w:rFonts w:hint="eastAsia" w:ascii="宋体" w:hAnsi="宋体" w:eastAsia="宋体" w:cs="宋体"/>
                <w:sz w:val="18"/>
                <w:szCs w:val="21"/>
                <w:lang w:eastAsia="ar-SA"/>
              </w:rPr>
              <w:t>模</w:t>
            </w:r>
            <w:r>
              <w:rPr>
                <w:rFonts w:hint="eastAsia" w:ascii="宋体" w:hAnsi="宋体" w:eastAsia="宋体" w:cs="___WRD_EMBED_SUB_39"/>
                <w:sz w:val="18"/>
                <w:szCs w:val="21"/>
                <w:lang w:eastAsia="ar-SA"/>
              </w:rPr>
              <w:t>电动</w:t>
            </w:r>
            <w:r>
              <w:rPr>
                <w:rFonts w:hint="eastAsia" w:ascii="宋体" w:hAnsi="宋体" w:eastAsia="宋体" w:cs="宋体"/>
                <w:sz w:val="18"/>
                <w:szCs w:val="21"/>
                <w:lang w:eastAsia="ar-SA"/>
              </w:rPr>
              <w:t>汽车</w:t>
            </w:r>
            <w:r>
              <w:rPr>
                <w:rFonts w:hint="eastAsia" w:ascii="宋体" w:hAnsi="宋体" w:eastAsia="宋体" w:cs="___WRD_EMBED_SUB_39"/>
                <w:sz w:val="18"/>
                <w:szCs w:val="21"/>
                <w:lang w:eastAsia="ar-SA"/>
              </w:rPr>
              <w:t>接</w:t>
            </w:r>
            <w:r>
              <w:rPr>
                <w:rFonts w:hint="eastAsia" w:ascii="宋体" w:hAnsi="宋体" w:eastAsia="宋体" w:cs="宋体"/>
                <w:sz w:val="18"/>
                <w:szCs w:val="21"/>
                <w:lang w:eastAsia="ar-SA"/>
              </w:rPr>
              <w:t>入</w:t>
            </w:r>
            <w:r>
              <w:rPr>
                <w:rFonts w:hint="eastAsia" w:ascii="宋体" w:hAnsi="宋体" w:eastAsia="宋体" w:cs="___WRD_EMBED_SUB_39"/>
                <w:sz w:val="18"/>
                <w:szCs w:val="21"/>
                <w:lang w:eastAsia="ar-SA"/>
              </w:rPr>
              <w:t>的高</w:t>
            </w:r>
            <w:r>
              <w:rPr>
                <w:rFonts w:hint="eastAsia" w:ascii="宋体" w:hAnsi="宋体" w:eastAsia="宋体" w:cs="宋体"/>
                <w:sz w:val="18"/>
                <w:szCs w:val="21"/>
                <w:lang w:eastAsia="ar-SA"/>
              </w:rPr>
              <w:t>压配</w:t>
            </w:r>
            <w:r>
              <w:rPr>
                <w:rFonts w:hint="eastAsia" w:ascii="宋体" w:hAnsi="宋体" w:eastAsia="宋体" w:cs="___WRD_EMBED_SUB_39"/>
                <w:sz w:val="18"/>
                <w:szCs w:val="21"/>
                <w:lang w:eastAsia="ar-SA"/>
              </w:rPr>
              <w:t>电网</w:t>
            </w:r>
            <w:r>
              <w:rPr>
                <w:rFonts w:hint="eastAsia" w:ascii="宋体" w:hAnsi="宋体" w:eastAsia="宋体" w:cs="宋体"/>
                <w:sz w:val="18"/>
                <w:szCs w:val="21"/>
                <w:lang w:eastAsia="ar-SA"/>
              </w:rPr>
              <w:t>弹</w:t>
            </w:r>
            <w:r>
              <w:rPr>
                <w:rFonts w:hint="eastAsia" w:ascii="宋体" w:hAnsi="宋体" w:eastAsia="宋体" w:cs="___WRD_EMBED_SUB_39"/>
                <w:sz w:val="18"/>
                <w:szCs w:val="21"/>
                <w:lang w:eastAsia="ar-SA"/>
              </w:rPr>
              <w:t>性</w:t>
            </w:r>
            <w:r>
              <w:rPr>
                <w:rFonts w:hint="eastAsia" w:ascii="宋体" w:hAnsi="宋体" w:eastAsia="宋体" w:cs="宋体"/>
                <w:sz w:val="18"/>
                <w:szCs w:val="21"/>
                <w:lang w:eastAsia="ar-SA"/>
              </w:rPr>
              <w:t>运</w:t>
            </w:r>
            <w:r>
              <w:rPr>
                <w:rFonts w:hint="eastAsia" w:ascii="宋体" w:hAnsi="宋体" w:eastAsia="宋体" w:cs="___WRD_EMBED_SUB_39"/>
                <w:sz w:val="18"/>
                <w:szCs w:val="21"/>
                <w:lang w:eastAsia="ar-SA"/>
              </w:rPr>
              <w:t>行理</w:t>
            </w:r>
            <w:r>
              <w:rPr>
                <w:rFonts w:hint="eastAsia" w:ascii="宋体" w:hAnsi="宋体" w:eastAsia="宋体" w:cs="宋体"/>
                <w:sz w:val="18"/>
                <w:szCs w:val="21"/>
                <w:lang w:eastAsia="ar-SA"/>
              </w:rPr>
              <w:t>论</w:t>
            </w:r>
            <w:r>
              <w:rPr>
                <w:rFonts w:hint="eastAsia" w:ascii="宋体" w:hAnsi="宋体" w:eastAsia="宋体" w:cs="___WRD_EMBED_SUB_39"/>
                <w:sz w:val="18"/>
                <w:szCs w:val="21"/>
                <w:lang w:eastAsia="ar-SA"/>
              </w:rPr>
              <w:t>与关</w:t>
            </w:r>
            <w:r>
              <w:rPr>
                <w:rFonts w:hint="eastAsia" w:ascii="宋体" w:hAnsi="宋体" w:eastAsia="宋体" w:cs="宋体"/>
                <w:sz w:val="18"/>
                <w:szCs w:val="21"/>
                <w:lang w:eastAsia="ar-SA"/>
              </w:rPr>
              <w:t>键</w:t>
            </w:r>
            <w:r>
              <w:rPr>
                <w:rFonts w:hint="eastAsia" w:ascii="宋体" w:hAnsi="宋体" w:eastAsia="宋体" w:cs="___WRD_EMBED_SUB_39"/>
                <w:sz w:val="18"/>
                <w:szCs w:val="21"/>
                <w:lang w:eastAsia="ar-SA"/>
              </w:rPr>
              <w:t>技术研究</w:t>
            </w:r>
          </w:p>
        </w:tc>
        <w:tc>
          <w:tcPr>
            <w:tcW w:w="1215"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宋体"/>
                <w:sz w:val="18"/>
                <w:szCs w:val="21"/>
                <w:lang w:eastAsia="ar-SA"/>
              </w:rPr>
              <w:t>浙江省</w:t>
            </w:r>
          </w:p>
        </w:tc>
        <w:tc>
          <w:tcPr>
            <w:tcW w:w="1216"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Times New Roman"/>
                <w:sz w:val="18"/>
                <w:szCs w:val="21"/>
                <w:lang w:eastAsia="ar-SA"/>
              </w:rPr>
              <w:t>国网</w:t>
            </w:r>
            <w:r>
              <w:rPr>
                <w:rFonts w:hint="eastAsia" w:ascii="宋体" w:hAnsi="宋体" w:eastAsia="宋体" w:cs="宋体"/>
                <w:sz w:val="18"/>
                <w:szCs w:val="21"/>
                <w:lang w:eastAsia="ar-SA"/>
              </w:rPr>
              <w:t>浙江省电力公司</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132万元</w:t>
            </w:r>
          </w:p>
        </w:tc>
        <w:tc>
          <w:tcPr>
            <w:tcW w:w="1215"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rPr>
              <w:t>2017-9——2018.12</w:t>
            </w:r>
          </w:p>
        </w:tc>
        <w:tc>
          <w:tcPr>
            <w:tcW w:w="1224" w:type="dxa"/>
          </w:tcPr>
          <w:p>
            <w:pPr>
              <w:adjustRightInd w:val="0"/>
              <w:snapToGrid w:val="0"/>
              <w:spacing w:before="56" w:after="56" w:line="360" w:lineRule="auto"/>
              <w:contextualSpacing/>
              <w:jc w:val="center"/>
              <w:rPr>
                <w:rFonts w:ascii="宋体" w:hAnsi="宋体" w:eastAsia="宋体" w:cs="Times New Roman"/>
                <w:sz w:val="18"/>
                <w:szCs w:val="21"/>
                <w:lang w:eastAsia="ar-SA"/>
              </w:rPr>
            </w:pPr>
          </w:p>
        </w:tc>
      </w:tr>
    </w:tbl>
    <w:p>
      <w:pPr>
        <w:spacing w:line="360" w:lineRule="auto"/>
        <w:ind w:firstLine="420" w:firstLineChars="200"/>
        <w:contextualSpacing/>
        <w:rPr>
          <w:rFonts w:ascii="宋体" w:hAnsi="宋体" w:eastAsia="宋体" w:cs="Times New Roman"/>
          <w:kern w:val="1"/>
          <w:szCs w:val="32"/>
        </w:rPr>
      </w:pPr>
      <w:r>
        <w:rPr>
          <w:rFonts w:hint="eastAsia" w:ascii="宋体" w:hAnsi="宋体" w:eastAsia="宋体" w:cs="Times New Roman"/>
          <w:kern w:val="1"/>
          <w:szCs w:val="32"/>
        </w:rPr>
        <w:t>附表2</w:t>
      </w:r>
    </w:p>
    <w:tbl>
      <w:tblPr>
        <w:tblStyle w:val="14"/>
        <w:tblW w:w="8538" w:type="dxa"/>
        <w:tblInd w:w="-5" w:type="dxa"/>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1"/>
        <w:gridCol w:w="1160"/>
        <w:gridCol w:w="1159"/>
        <w:gridCol w:w="1159"/>
        <w:gridCol w:w="1159"/>
        <w:gridCol w:w="1159"/>
        <w:gridCol w:w="1961"/>
      </w:tblGrid>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dxa"/>
          </w:tcPr>
          <w:p>
            <w:pPr>
              <w:suppressAutoHyphens/>
              <w:snapToGrid w:val="0"/>
              <w:spacing w:before="120" w:after="120" w:line="360" w:lineRule="auto"/>
              <w:contextualSpacing/>
              <w:rPr>
                <w:rFonts w:ascii="宋体" w:hAnsi="宋体" w:eastAsia="宋体" w:cs="Times New Roman"/>
                <w:b/>
                <w:bCs/>
                <w:kern w:val="1"/>
                <w:szCs w:val="21"/>
                <w:lang w:eastAsia="ar-SA"/>
              </w:rPr>
            </w:pPr>
            <w:r>
              <w:rPr>
                <w:rFonts w:hint="eastAsia" w:ascii="宋体" w:hAnsi="宋体" w:eastAsia="宋体" w:cs="Times New Roman"/>
                <w:b/>
                <w:bCs/>
                <w:kern w:val="1"/>
                <w:szCs w:val="21"/>
                <w:lang w:eastAsia="ar-SA"/>
              </w:rPr>
              <w:t>序号</w:t>
            </w:r>
          </w:p>
        </w:tc>
        <w:tc>
          <w:tcPr>
            <w:tcW w:w="1160" w:type="dxa"/>
          </w:tcPr>
          <w:p>
            <w:pPr>
              <w:suppressAutoHyphens/>
              <w:snapToGrid w:val="0"/>
              <w:spacing w:before="120" w:after="120" w:line="360" w:lineRule="auto"/>
              <w:contextualSpacing/>
              <w:rPr>
                <w:rFonts w:ascii="宋体" w:hAnsi="宋体" w:eastAsia="宋体" w:cs="Times New Roman"/>
                <w:b/>
                <w:bCs/>
                <w:kern w:val="1"/>
                <w:szCs w:val="21"/>
                <w:lang w:eastAsia="ar-SA"/>
              </w:rPr>
            </w:pPr>
            <w:r>
              <w:rPr>
                <w:rFonts w:hint="eastAsia" w:ascii="宋体" w:hAnsi="宋体" w:eastAsia="宋体" w:cs="Times New Roman"/>
                <w:b/>
                <w:bCs/>
                <w:kern w:val="1"/>
                <w:szCs w:val="21"/>
              </w:rPr>
              <w:t>项目</w:t>
            </w:r>
            <w:r>
              <w:rPr>
                <w:rFonts w:hint="eastAsia" w:ascii="宋体" w:hAnsi="宋体" w:eastAsia="宋体" w:cs="Times New Roman"/>
                <w:b/>
                <w:bCs/>
                <w:kern w:val="1"/>
                <w:szCs w:val="21"/>
                <w:lang w:eastAsia="ar-SA"/>
              </w:rPr>
              <w:t>名称</w:t>
            </w:r>
          </w:p>
        </w:tc>
        <w:tc>
          <w:tcPr>
            <w:tcW w:w="1159" w:type="dxa"/>
          </w:tcPr>
          <w:p>
            <w:pPr>
              <w:suppressAutoHyphens/>
              <w:snapToGrid w:val="0"/>
              <w:spacing w:before="120" w:after="120" w:line="360" w:lineRule="auto"/>
              <w:contextualSpacing/>
              <w:rPr>
                <w:rFonts w:ascii="宋体" w:hAnsi="宋体" w:eastAsia="宋体" w:cs="Times New Roman"/>
                <w:b/>
                <w:bCs/>
                <w:kern w:val="1"/>
                <w:szCs w:val="21"/>
                <w:lang w:eastAsia="ar-SA"/>
              </w:rPr>
            </w:pPr>
            <w:r>
              <w:rPr>
                <w:rFonts w:hint="eastAsia" w:ascii="宋体" w:hAnsi="宋体" w:eastAsia="宋体" w:cs="Times New Roman"/>
                <w:b/>
                <w:bCs/>
                <w:kern w:val="1"/>
                <w:szCs w:val="21"/>
              </w:rPr>
              <w:t>项目</w:t>
            </w:r>
            <w:r>
              <w:rPr>
                <w:rFonts w:hint="eastAsia" w:ascii="宋体" w:hAnsi="宋体" w:eastAsia="宋体" w:cs="Times New Roman"/>
                <w:b/>
                <w:bCs/>
                <w:kern w:val="1"/>
                <w:szCs w:val="21"/>
                <w:lang w:eastAsia="ar-SA"/>
              </w:rPr>
              <w:t>地点</w:t>
            </w:r>
          </w:p>
        </w:tc>
        <w:tc>
          <w:tcPr>
            <w:tcW w:w="1159" w:type="dxa"/>
          </w:tcPr>
          <w:p>
            <w:pPr>
              <w:suppressAutoHyphens/>
              <w:snapToGrid w:val="0"/>
              <w:spacing w:before="120" w:after="120" w:line="360" w:lineRule="auto"/>
              <w:contextualSpacing/>
              <w:rPr>
                <w:rFonts w:ascii="宋体" w:hAnsi="宋体" w:eastAsia="宋体" w:cs="Times New Roman"/>
                <w:b/>
                <w:bCs/>
                <w:kern w:val="1"/>
                <w:szCs w:val="21"/>
                <w:lang w:eastAsia="ar-SA"/>
              </w:rPr>
            </w:pPr>
            <w:r>
              <w:rPr>
                <w:rFonts w:hint="eastAsia" w:ascii="宋体" w:hAnsi="宋体" w:eastAsia="宋体" w:cs="Times New Roman"/>
                <w:b/>
                <w:bCs/>
                <w:kern w:val="1"/>
                <w:szCs w:val="21"/>
                <w:lang w:eastAsia="ar-SA"/>
              </w:rPr>
              <w:t>项目法人</w:t>
            </w:r>
          </w:p>
        </w:tc>
        <w:tc>
          <w:tcPr>
            <w:tcW w:w="1159" w:type="dxa"/>
          </w:tcPr>
          <w:p>
            <w:pPr>
              <w:suppressAutoHyphens/>
              <w:snapToGrid w:val="0"/>
              <w:spacing w:before="120" w:after="120" w:line="360" w:lineRule="auto"/>
              <w:contextualSpacing/>
              <w:rPr>
                <w:rFonts w:ascii="宋体" w:hAnsi="宋体" w:eastAsia="宋体" w:cs="Times New Roman"/>
                <w:b/>
                <w:bCs/>
                <w:kern w:val="1"/>
                <w:szCs w:val="21"/>
                <w:lang w:eastAsia="ar-SA"/>
              </w:rPr>
            </w:pPr>
            <w:r>
              <w:rPr>
                <w:rFonts w:hint="eastAsia" w:ascii="宋体" w:hAnsi="宋体" w:eastAsia="宋体" w:cs="Times New Roman"/>
                <w:b/>
                <w:bCs/>
                <w:kern w:val="1"/>
                <w:szCs w:val="21"/>
              </w:rPr>
              <w:t>合同价格</w:t>
            </w:r>
          </w:p>
        </w:tc>
        <w:tc>
          <w:tcPr>
            <w:tcW w:w="1159" w:type="dxa"/>
          </w:tcPr>
          <w:p>
            <w:pPr>
              <w:suppressAutoHyphens/>
              <w:snapToGrid w:val="0"/>
              <w:spacing w:before="120" w:after="120" w:line="360" w:lineRule="auto"/>
              <w:contextualSpacing/>
              <w:rPr>
                <w:rFonts w:ascii="宋体" w:hAnsi="宋体" w:eastAsia="宋体" w:cs="Times New Roman"/>
                <w:b/>
                <w:bCs/>
                <w:kern w:val="1"/>
                <w:szCs w:val="21"/>
                <w:lang w:eastAsia="ar-SA"/>
              </w:rPr>
            </w:pPr>
            <w:r>
              <w:rPr>
                <w:rFonts w:hint="eastAsia" w:ascii="宋体" w:hAnsi="宋体" w:eastAsia="宋体" w:cs="Times New Roman"/>
                <w:b/>
                <w:bCs/>
                <w:kern w:val="1"/>
                <w:szCs w:val="21"/>
              </w:rPr>
              <w:t>实施</w:t>
            </w:r>
            <w:r>
              <w:rPr>
                <w:rFonts w:hint="eastAsia" w:ascii="宋体" w:hAnsi="宋体" w:eastAsia="宋体" w:cs="Times New Roman"/>
                <w:b/>
                <w:bCs/>
                <w:kern w:val="1"/>
                <w:szCs w:val="21"/>
                <w:lang w:eastAsia="ar-SA"/>
              </w:rPr>
              <w:t>阶段</w:t>
            </w:r>
          </w:p>
        </w:tc>
        <w:tc>
          <w:tcPr>
            <w:tcW w:w="1961" w:type="dxa"/>
          </w:tcPr>
          <w:p>
            <w:pPr>
              <w:suppressAutoHyphens/>
              <w:snapToGrid w:val="0"/>
              <w:spacing w:before="120" w:after="120" w:line="360" w:lineRule="auto"/>
              <w:contextualSpacing/>
              <w:rPr>
                <w:rFonts w:ascii="宋体" w:hAnsi="宋体" w:eastAsia="宋体" w:cs="Times New Roman"/>
                <w:b/>
                <w:bCs/>
                <w:kern w:val="1"/>
                <w:szCs w:val="21"/>
                <w:lang w:eastAsia="ar-SA"/>
              </w:rPr>
            </w:pPr>
            <w:r>
              <w:rPr>
                <w:rFonts w:hint="eastAsia" w:ascii="宋体" w:hAnsi="宋体" w:eastAsia="宋体" w:cs="Times New Roman"/>
                <w:b/>
                <w:bCs/>
                <w:kern w:val="1"/>
                <w:szCs w:val="21"/>
                <w:lang w:eastAsia="ar-SA"/>
              </w:rPr>
              <w:t>已完成的</w:t>
            </w:r>
            <w:r>
              <w:rPr>
                <w:rFonts w:hint="eastAsia" w:ascii="宋体" w:hAnsi="宋体" w:eastAsia="宋体" w:cs="Times New Roman"/>
                <w:b/>
                <w:bCs/>
                <w:kern w:val="1"/>
                <w:szCs w:val="21"/>
              </w:rPr>
              <w:t>项目</w:t>
            </w:r>
            <w:r>
              <w:rPr>
                <w:rFonts w:hint="eastAsia" w:ascii="宋体" w:hAnsi="宋体" w:eastAsia="宋体" w:cs="Times New Roman"/>
                <w:b/>
                <w:bCs/>
                <w:kern w:val="1"/>
                <w:szCs w:val="21"/>
                <w:lang w:eastAsia="ar-SA"/>
              </w:rPr>
              <w:t>成果</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dxa"/>
          </w:tcPr>
          <w:p>
            <w:pPr>
              <w:adjustRightInd w:val="0"/>
              <w:snapToGrid w:val="0"/>
              <w:spacing w:before="56" w:after="56" w:line="24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w:t>
            </w:r>
          </w:p>
        </w:tc>
        <w:tc>
          <w:tcPr>
            <w:tcW w:w="1160" w:type="dxa"/>
            <w:vAlign w:val="center"/>
          </w:tcPr>
          <w:p>
            <w:pPr>
              <w:adjustRightInd w:val="0"/>
              <w:snapToGrid w:val="0"/>
              <w:spacing w:before="60" w:after="60" w:line="360" w:lineRule="auto"/>
              <w:contextualSpacing/>
              <w:jc w:val="center"/>
              <w:rPr>
                <w:rFonts w:ascii="宋体" w:hAnsi="宋体" w:eastAsia="宋体" w:cs="Times New Roman"/>
                <w:sz w:val="18"/>
                <w:szCs w:val="21"/>
                <w:lang w:eastAsia="ar-SA"/>
              </w:rPr>
            </w:pPr>
            <w:r>
              <w:rPr>
                <w:rFonts w:ascii="宋体" w:hAnsi="宋体" w:eastAsia="宋体" w:cs="Times New Roman"/>
                <w:sz w:val="18"/>
                <w:szCs w:val="21"/>
                <w:lang w:eastAsia="ar-SA"/>
              </w:rPr>
              <w:t>交</w:t>
            </w:r>
            <w:r>
              <w:rPr>
                <w:rFonts w:hint="eastAsia" w:ascii="宋体" w:hAnsi="宋体" w:eastAsia="宋体" w:cs="宋体"/>
                <w:sz w:val="18"/>
                <w:szCs w:val="21"/>
                <w:lang w:eastAsia="ar-SA"/>
              </w:rPr>
              <w:t>直</w:t>
            </w:r>
            <w:r>
              <w:rPr>
                <w:rFonts w:hint="eastAsia" w:ascii="宋体" w:hAnsi="宋体" w:eastAsia="宋体" w:cs="___WRD_EMBED_SUB_39"/>
                <w:sz w:val="18"/>
                <w:szCs w:val="21"/>
                <w:lang w:eastAsia="ar-SA"/>
              </w:rPr>
              <w:t>流</w:t>
            </w:r>
            <w:r>
              <w:rPr>
                <w:rFonts w:ascii="宋体" w:hAnsi="宋体" w:eastAsia="宋体" w:cs="宋体"/>
                <w:sz w:val="18"/>
                <w:szCs w:val="21"/>
                <w:lang w:eastAsia="ar-SA"/>
              </w:rPr>
              <w:t>混合的分布式可再生能源技术</w:t>
            </w:r>
            <w:r>
              <w:rPr>
                <w:rFonts w:hint="eastAsia" w:ascii="宋体" w:hAnsi="宋体" w:eastAsia="宋体" w:cs="宋体"/>
                <w:sz w:val="18"/>
                <w:szCs w:val="21"/>
              </w:rPr>
              <w:t>（国家项目配套）</w:t>
            </w:r>
          </w:p>
        </w:tc>
        <w:tc>
          <w:tcPr>
            <w:tcW w:w="1159" w:type="dxa"/>
          </w:tcPr>
          <w:p>
            <w:pPr>
              <w:rPr>
                <w:rFonts w:ascii="宋体" w:hAnsi="宋体" w:eastAsia="宋体"/>
              </w:rPr>
            </w:pPr>
            <w:r>
              <w:rPr>
                <w:rFonts w:hint="eastAsia" w:ascii="宋体" w:hAnsi="宋体" w:eastAsia="宋体" w:cs="宋体"/>
                <w:sz w:val="18"/>
                <w:szCs w:val="21"/>
              </w:rPr>
              <w:t>江苏省</w:t>
            </w:r>
          </w:p>
        </w:tc>
        <w:tc>
          <w:tcPr>
            <w:tcW w:w="1159" w:type="dxa"/>
          </w:tcPr>
          <w:p>
            <w:pPr>
              <w:rPr>
                <w:rFonts w:ascii="宋体" w:hAnsi="宋体" w:eastAsia="宋体" w:cs="宋体"/>
                <w:sz w:val="18"/>
                <w:szCs w:val="21"/>
                <w:lang w:eastAsia="ar-SA"/>
              </w:rPr>
            </w:pPr>
            <w:r>
              <w:rPr>
                <w:rFonts w:hint="eastAsia" w:ascii="宋体" w:hAnsi="宋体" w:eastAsia="宋体" w:cs="宋体"/>
                <w:sz w:val="18"/>
                <w:szCs w:val="21"/>
                <w:lang w:eastAsia="ar-SA"/>
              </w:rPr>
              <w:t>国网江苏省电力公司电力科学研究院</w:t>
            </w:r>
          </w:p>
        </w:tc>
        <w:tc>
          <w:tcPr>
            <w:tcW w:w="1159"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119万</w:t>
            </w:r>
          </w:p>
        </w:tc>
        <w:tc>
          <w:tcPr>
            <w:tcW w:w="1159" w:type="dxa"/>
          </w:tcPr>
          <w:p>
            <w:pPr>
              <w:adjustRightInd w:val="0"/>
              <w:snapToGrid w:val="0"/>
              <w:spacing w:before="56" w:after="56" w:line="24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在研</w:t>
            </w:r>
          </w:p>
        </w:tc>
        <w:tc>
          <w:tcPr>
            <w:tcW w:w="1961" w:type="dxa"/>
          </w:tcPr>
          <w:p>
            <w:pPr>
              <w:adjustRightInd w:val="0"/>
              <w:snapToGrid w:val="0"/>
              <w:spacing w:before="56" w:after="56" w:line="240" w:lineRule="auto"/>
              <w:contextualSpacing/>
              <w:jc w:val="center"/>
              <w:rPr>
                <w:rFonts w:ascii="宋体" w:hAnsi="宋体" w:eastAsia="宋体" w:cs="Times New Roman"/>
                <w:sz w:val="18"/>
                <w:szCs w:val="21"/>
                <w:lang w:eastAsia="ar-SA"/>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dxa"/>
          </w:tcPr>
          <w:p>
            <w:pPr>
              <w:adjustRightInd w:val="0"/>
              <w:snapToGrid w:val="0"/>
              <w:spacing w:before="56" w:after="56" w:line="24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2</w:t>
            </w:r>
          </w:p>
        </w:tc>
        <w:tc>
          <w:tcPr>
            <w:tcW w:w="1160"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ascii="宋体" w:hAnsi="宋体" w:eastAsia="宋体" w:cs="Times New Roman"/>
                <w:sz w:val="18"/>
                <w:szCs w:val="21"/>
                <w:lang w:eastAsia="ar-SA"/>
              </w:rPr>
              <w:t>交</w:t>
            </w:r>
            <w:r>
              <w:rPr>
                <w:rFonts w:hint="eastAsia" w:ascii="宋体" w:hAnsi="宋体" w:eastAsia="宋体" w:cs="宋体"/>
                <w:sz w:val="18"/>
                <w:szCs w:val="21"/>
                <w:lang w:eastAsia="ar-SA"/>
              </w:rPr>
              <w:t>直</w:t>
            </w:r>
            <w:r>
              <w:rPr>
                <w:rFonts w:hint="eastAsia" w:ascii="宋体" w:hAnsi="宋体" w:eastAsia="宋体" w:cs="___WRD_EMBED_SUB_39"/>
                <w:sz w:val="18"/>
                <w:szCs w:val="21"/>
                <w:lang w:eastAsia="ar-SA"/>
              </w:rPr>
              <w:t>流</w:t>
            </w:r>
            <w:r>
              <w:rPr>
                <w:rFonts w:ascii="宋体" w:hAnsi="宋体" w:eastAsia="宋体" w:cs="宋体"/>
                <w:sz w:val="18"/>
                <w:szCs w:val="21"/>
                <w:lang w:eastAsia="ar-SA"/>
              </w:rPr>
              <w:t>混合的分布式可再生能源技术</w:t>
            </w:r>
          </w:p>
        </w:tc>
        <w:tc>
          <w:tcPr>
            <w:tcW w:w="1159" w:type="dxa"/>
          </w:tcPr>
          <w:p>
            <w:pPr>
              <w:adjustRightInd w:val="0"/>
              <w:snapToGrid w:val="0"/>
              <w:spacing w:before="56" w:after="56" w:line="360" w:lineRule="auto"/>
              <w:contextualSpacing/>
              <w:jc w:val="center"/>
              <w:rPr>
                <w:rFonts w:ascii="宋体" w:hAnsi="宋体" w:eastAsia="宋体" w:cs="Times New Roman"/>
                <w:sz w:val="18"/>
                <w:szCs w:val="21"/>
                <w:lang w:eastAsia="ar-SA"/>
              </w:rPr>
            </w:pPr>
            <w:r>
              <w:rPr>
                <w:rFonts w:hint="eastAsia" w:ascii="宋体" w:hAnsi="宋体" w:eastAsia="宋体" w:cs="宋体"/>
                <w:sz w:val="18"/>
                <w:szCs w:val="21"/>
              </w:rPr>
              <w:t>江苏省</w:t>
            </w:r>
          </w:p>
        </w:tc>
        <w:tc>
          <w:tcPr>
            <w:tcW w:w="1159" w:type="dxa"/>
          </w:tcPr>
          <w:p>
            <w:pPr>
              <w:rPr>
                <w:rFonts w:ascii="宋体" w:hAnsi="宋体" w:eastAsia="宋体" w:cs="宋体"/>
                <w:sz w:val="18"/>
                <w:szCs w:val="21"/>
                <w:lang w:eastAsia="ar-SA"/>
              </w:rPr>
            </w:pPr>
            <w:r>
              <w:rPr>
                <w:rFonts w:hint="eastAsia" w:ascii="宋体" w:hAnsi="宋体" w:eastAsia="宋体" w:cs="宋体"/>
                <w:sz w:val="18"/>
                <w:szCs w:val="21"/>
                <w:lang w:eastAsia="ar-SA"/>
              </w:rPr>
              <w:t>国网江苏省电力公司电力科学研究院</w:t>
            </w:r>
          </w:p>
        </w:tc>
        <w:tc>
          <w:tcPr>
            <w:tcW w:w="1159" w:type="dxa"/>
            <w:vAlign w:val="center"/>
          </w:tcPr>
          <w:p>
            <w:pPr>
              <w:adjustRightInd w:val="0"/>
              <w:snapToGrid w:val="0"/>
              <w:spacing w:before="60" w:after="60" w:line="36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100万</w:t>
            </w:r>
          </w:p>
        </w:tc>
        <w:tc>
          <w:tcPr>
            <w:tcW w:w="1159" w:type="dxa"/>
          </w:tcPr>
          <w:p>
            <w:pPr>
              <w:adjustRightInd w:val="0"/>
              <w:snapToGrid w:val="0"/>
              <w:spacing w:before="56" w:after="56" w:line="240" w:lineRule="auto"/>
              <w:contextualSpacing/>
              <w:jc w:val="center"/>
              <w:rPr>
                <w:rFonts w:ascii="宋体" w:hAnsi="宋体" w:eastAsia="宋体" w:cs="Times New Roman"/>
                <w:sz w:val="18"/>
                <w:szCs w:val="21"/>
              </w:rPr>
            </w:pPr>
            <w:r>
              <w:rPr>
                <w:rFonts w:hint="eastAsia" w:ascii="宋体" w:hAnsi="宋体" w:eastAsia="宋体" w:cs="Times New Roman"/>
                <w:sz w:val="18"/>
                <w:szCs w:val="21"/>
              </w:rPr>
              <w:t>在研</w:t>
            </w:r>
          </w:p>
        </w:tc>
        <w:tc>
          <w:tcPr>
            <w:tcW w:w="1961" w:type="dxa"/>
          </w:tcPr>
          <w:p>
            <w:pPr>
              <w:adjustRightInd w:val="0"/>
              <w:snapToGrid w:val="0"/>
              <w:spacing w:before="56" w:after="56" w:line="240" w:lineRule="auto"/>
              <w:contextualSpacing/>
              <w:jc w:val="center"/>
              <w:rPr>
                <w:rFonts w:ascii="宋体" w:hAnsi="宋体" w:eastAsia="宋体" w:cs="Times New Roman"/>
                <w:sz w:val="18"/>
                <w:szCs w:val="21"/>
                <w:lang w:eastAsia="ar-SA"/>
              </w:rPr>
            </w:pPr>
          </w:p>
        </w:tc>
      </w:tr>
    </w:tbl>
    <w:p>
      <w:pPr>
        <w:pStyle w:val="18"/>
        <w:rPr>
          <w:rFonts w:hint="eastAsia" w:ascii="宋体" w:hAnsi="宋体"/>
          <w:color w:val="auto"/>
        </w:rPr>
      </w:pPr>
      <w:bookmarkStart w:id="6" w:name="_Toc1283_WPSOffice_Level1"/>
      <w:r>
        <w:rPr>
          <w:rFonts w:hint="eastAsia" w:ascii="宋体" w:hAnsi="宋体"/>
          <w:color w:val="auto"/>
        </w:rPr>
        <w:t>附表一影印件：</w:t>
      </w: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18"/>
        <w:rPr>
          <w:rFonts w:hint="eastAsia" w:ascii="宋体" w:hAnsi="宋体"/>
          <w:color w:val="auto"/>
        </w:rPr>
      </w:pPr>
    </w:p>
    <w:p>
      <w:pPr>
        <w:pStyle w:val="2"/>
        <w:ind w:left="420" w:hanging="420"/>
        <w:rPr>
          <w:rFonts w:ascii="宋体" w:hAnsi="宋体" w:eastAsia="宋体"/>
          <w:sz w:val="28"/>
        </w:rPr>
      </w:pPr>
      <w:bookmarkStart w:id="7" w:name="_Toc14249998"/>
      <w:r>
        <w:rPr>
          <w:rFonts w:hint="eastAsia" w:ascii="宋体" w:hAnsi="宋体" w:eastAsia="宋体"/>
          <w:sz w:val="28"/>
        </w:rPr>
        <w:t>二、工作大纲、工作方案及服务承诺</w:t>
      </w:r>
      <w:bookmarkEnd w:id="6"/>
      <w:bookmarkEnd w:id="7"/>
    </w:p>
    <w:p>
      <w:pPr>
        <w:topLinePunct/>
        <w:spacing w:line="360" w:lineRule="auto"/>
        <w:ind w:firstLine="420"/>
        <w:contextualSpacing/>
        <w:rPr>
          <w:rFonts w:ascii="宋体" w:hAnsi="宋体" w:eastAsia="宋体" w:cs="Times New Roman"/>
          <w:szCs w:val="21"/>
        </w:rPr>
      </w:pPr>
      <w:r>
        <w:rPr>
          <w:rFonts w:hint="eastAsia" w:ascii="宋体" w:hAnsi="宋体" w:eastAsia="宋体" w:cs="Times New Roman"/>
          <w:szCs w:val="21"/>
        </w:rPr>
        <w:t>工作大纲、工作方案及服务承诺应根据招标人对项目的要求、评标标准的要求及项目本身的特点编写，包括但不限于以下内容：</w:t>
      </w: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8" w:name="_Toc14249999"/>
      <w:r>
        <w:rPr>
          <w:rFonts w:hint="eastAsia" w:ascii="宋体" w:hAnsi="宋体" w:eastAsia="宋体" w:cstheme="majorBidi"/>
          <w:b/>
          <w:bCs/>
          <w:sz w:val="24"/>
          <w:szCs w:val="32"/>
        </w:rPr>
        <w:t>对招标项目的理解：包括项目的所有分解目标理解，项目重点、难点等。</w:t>
      </w:r>
      <w:bookmarkEnd w:id="8"/>
    </w:p>
    <w:p>
      <w:pPr>
        <w:widowControl/>
        <w:spacing w:line="360" w:lineRule="auto"/>
        <w:ind w:left="-235" w:leftChars="-112" w:firstLine="420" w:firstLineChars="200"/>
        <w:jc w:val="left"/>
        <w:rPr>
          <w:rFonts w:ascii="宋体" w:hAnsi="宋体" w:eastAsia="宋体"/>
        </w:rPr>
      </w:pPr>
      <w:r>
        <w:rPr>
          <w:rFonts w:hint="eastAsia" w:ascii="宋体" w:hAnsi="宋体" w:eastAsia="宋体"/>
        </w:rPr>
        <w:t>高压开关柜是输配电系统中的重要设备，承担着开断和关合电力线路、监测电气运行数据等重要作用。在配用电系统中，10kV高压开关柜应用规模极大，但因未广泛采用稳定、有效的监测防患措施，仍然事故频发。高压开关柜在运行中往往由于各种原因造成其故障率一直居高不下，特别是在高温、高负荷期间，由于绝缘性能老化、操作机构机械故障、误操作、柜内触头(接点)过热、或其它未及时消除的缺陷等原因引起的伤人、烧柜、甚至爆炸的事故时有发生，所引发的停电事件也给人民群众生产和生活带来的影响及损失也越来越大，尤其是开关柜燃爆事故往往造成重大的人身伤害及设备财产损失。此外，高压开关柜的封闭特性使得难以通过日常巡视查看内部各元件的状态，如表面污损、物理变形等，各种传感器的监测也往往是基于选定装设点的，各种原因导致的离散报警信息难以确认，通过红外成像测温和微光遥视技术，可实现开关柜内部的温度场分析、远程查看开关柜内部状态，结合电压和负荷电流、环境温度等综合数据的分析，实现高压开关柜工作状态的多维度分析及全息可视化，可对告警信息的真伪进行有效甄别，大幅提高状态监测系统的可用性，可进一步评估开关柜运行风险。</w:t>
      </w:r>
    </w:p>
    <w:p>
      <w:pPr>
        <w:pStyle w:val="24"/>
        <w:widowControl/>
        <w:numPr>
          <w:ilvl w:val="0"/>
          <w:numId w:val="3"/>
        </w:numPr>
        <w:spacing w:line="360" w:lineRule="auto"/>
        <w:ind w:firstLineChars="0"/>
        <w:jc w:val="left"/>
        <w:rPr>
          <w:rFonts w:ascii="宋体" w:hAnsi="宋体" w:eastAsia="宋体"/>
        </w:rPr>
      </w:pPr>
      <w:r>
        <w:rPr>
          <w:rFonts w:hint="eastAsia" w:ascii="宋体" w:hAnsi="宋体" w:eastAsia="宋体"/>
        </w:rPr>
        <w:t>项目重难点</w:t>
      </w:r>
    </w:p>
    <w:p>
      <w:pPr>
        <w:pStyle w:val="24"/>
        <w:widowControl/>
        <w:numPr>
          <w:ilvl w:val="0"/>
          <w:numId w:val="4"/>
        </w:numPr>
        <w:spacing w:line="360" w:lineRule="auto"/>
        <w:ind w:firstLineChars="0"/>
        <w:jc w:val="left"/>
        <w:rPr>
          <w:rFonts w:ascii="宋体" w:hAnsi="宋体" w:eastAsia="宋体"/>
        </w:rPr>
      </w:pPr>
      <w:r>
        <w:rPr>
          <w:rFonts w:hint="eastAsia" w:ascii="宋体" w:hAnsi="宋体" w:eastAsia="宋体"/>
        </w:rPr>
        <w:t>可高频输出采样数据的传感器与时标同步技术</w:t>
      </w:r>
    </w:p>
    <w:p>
      <w:pPr>
        <w:widowControl/>
        <w:spacing w:line="360" w:lineRule="auto"/>
        <w:ind w:left="-235" w:leftChars="-112" w:firstLine="420" w:firstLineChars="200"/>
        <w:jc w:val="left"/>
        <w:rPr>
          <w:rFonts w:ascii="宋体" w:hAnsi="宋体" w:eastAsia="宋体"/>
        </w:rPr>
      </w:pPr>
      <w:r>
        <w:rPr>
          <w:rFonts w:hint="eastAsia" w:ascii="宋体" w:hAnsi="宋体" w:eastAsia="宋体"/>
        </w:rPr>
        <w:t>为了确保事故追忆效果，各状态传感器必须相对高频度的输出测量数据，以确保监测参量的“连续”性。目前，除了负荷电流、弧光，大多数传感器均以周期性（如秒级或分钟级）方式采集状态数据，使得监测数据无法用于快速发展事故的过程分析，也不利于实</w:t>
      </w:r>
    </w:p>
    <w:p>
      <w:pPr>
        <w:widowControl/>
        <w:spacing w:line="360" w:lineRule="auto"/>
        <w:ind w:left="-235" w:leftChars="-112" w:firstLine="420" w:firstLineChars="200"/>
        <w:jc w:val="left"/>
        <w:rPr>
          <w:rFonts w:ascii="宋体" w:hAnsi="宋体" w:eastAsia="宋体"/>
        </w:rPr>
      </w:pPr>
      <w:r>
        <w:rPr>
          <w:rFonts w:hint="eastAsia" w:ascii="宋体" w:hAnsi="宋体" w:eastAsia="宋体"/>
        </w:rPr>
        <w:t>目前，绝大多数用于开关柜监测的各种传感器的数据采样时间是相对随机、且不同步的，这些数据时间尺度及时标的不相容性为其后的综合分析利用制造了较大障碍。本项目拟采用网络对时方式，使数据采集和传感器支持时间同步功能（对时精度优于1ms），并基于此实现各类状态数据的同步采样功能，并输出带绝对时标的测量数据。</w:t>
      </w:r>
    </w:p>
    <w:p>
      <w:pPr>
        <w:pStyle w:val="24"/>
        <w:widowControl/>
        <w:numPr>
          <w:ilvl w:val="0"/>
          <w:numId w:val="4"/>
        </w:numPr>
        <w:spacing w:line="360" w:lineRule="auto"/>
        <w:ind w:firstLineChars="0"/>
        <w:jc w:val="left"/>
        <w:rPr>
          <w:rFonts w:ascii="宋体" w:hAnsi="宋体" w:eastAsia="宋体"/>
        </w:rPr>
      </w:pPr>
      <w:r>
        <w:rPr>
          <w:rFonts w:hint="eastAsia" w:ascii="宋体" w:hAnsi="宋体" w:eastAsia="宋体"/>
        </w:rPr>
        <w:t>状态综合分析和可视化事故追溯技术</w:t>
      </w:r>
    </w:p>
    <w:p>
      <w:pPr>
        <w:widowControl/>
        <w:spacing w:line="360" w:lineRule="auto"/>
        <w:ind w:left="-235" w:leftChars="-112" w:firstLine="420" w:firstLineChars="200"/>
        <w:jc w:val="left"/>
        <w:rPr>
          <w:rFonts w:ascii="宋体" w:hAnsi="宋体" w:eastAsia="宋体"/>
        </w:rPr>
      </w:pPr>
      <w:r>
        <w:rPr>
          <w:rFonts w:hint="eastAsia" w:ascii="宋体" w:hAnsi="宋体" w:eastAsia="宋体"/>
        </w:rPr>
        <w:t>各类监测数据是离散的，繁杂的，不利于运维人员有效利用，本项目将研究根据监测数据对开关柜的工作状态进行可视化、直观表达，探究不同监测数据对开关柜的影响，以提高监测系统的实用性。另外，项目还将研究如何可视化地重演事故（事故追溯），探究不同事故的发展过程，以利于运行人员寻找运行对策，检修部门改进基建方案，或者制造厂完善开关柜设计等。</w:t>
      </w:r>
    </w:p>
    <w:p>
      <w:pPr>
        <w:widowControl/>
        <w:spacing w:line="360" w:lineRule="auto"/>
        <w:ind w:left="-235" w:leftChars="-112" w:firstLine="420" w:firstLineChars="200"/>
        <w:jc w:val="left"/>
        <w:rPr>
          <w:rFonts w:ascii="宋体" w:hAnsi="宋体" w:eastAsia="宋体"/>
        </w:rPr>
      </w:pPr>
      <w:r>
        <w:rPr>
          <w:rFonts w:hint="eastAsia" w:ascii="宋体" w:hAnsi="宋体" w:eastAsia="宋体"/>
        </w:rPr>
        <w:t>此外，还可通过长时间、多维度的数据监测分析，探索表征开关柜运行状态的最小监测数据集（传感器种类）、监测方法（安装点、数据采集方式）和分析模型，以降低投资和维护成本，并提高监测系统的实用性。</w:t>
      </w: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9" w:name="_Toc14250000"/>
      <w:r>
        <w:rPr>
          <w:rFonts w:hint="eastAsia" w:ascii="宋体" w:hAnsi="宋体" w:eastAsia="宋体" w:cstheme="majorBidi"/>
          <w:b/>
          <w:bCs/>
          <w:sz w:val="24"/>
          <w:szCs w:val="32"/>
        </w:rPr>
        <w:t>投标人承担项目优势：包括投标人与招标项目有关的专题研究、科技成果或产品开发情况，投标人拥有的专利或专有技术等。</w:t>
      </w:r>
      <w:bookmarkEnd w:id="9"/>
    </w:p>
    <w:p>
      <w:pPr>
        <w:topLinePunct/>
        <w:spacing w:line="360" w:lineRule="auto"/>
        <w:ind w:firstLine="420" w:firstLineChars="200"/>
        <w:contextualSpacing/>
        <w:rPr>
          <w:rFonts w:ascii="宋体" w:hAnsi="宋体" w:eastAsia="宋体" w:cs="Times New Roman"/>
          <w:b/>
          <w:bCs/>
          <w:kern w:val="0"/>
          <w:szCs w:val="24"/>
        </w:rPr>
      </w:pPr>
      <w:r>
        <w:rPr>
          <w:rFonts w:hint="eastAsia" w:ascii="宋体" w:hAnsi="宋体" w:eastAsia="宋体" w:cs="Times New Roman"/>
          <w:kern w:val="0"/>
          <w:szCs w:val="24"/>
        </w:rPr>
        <w:t>投标人团队承担过国家级、省部级科研项目，近几年在相关领域进行过多项项目研究，投标人团队技术人员积累了丰富的实践经验和科研能力，并形成一定的科研成果。项目采取团队合作形式进行组织管理。采取分工合作的方式，专业技术人员各自负责自己的技术问题，并经常进行技术交流。</w:t>
      </w:r>
    </w:p>
    <w:p>
      <w:pPr>
        <w:topLinePunct/>
        <w:spacing w:line="36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 xml:space="preserve">    （1）投标团队拥有智能电网四川省重点实验室</w:t>
      </w:r>
    </w:p>
    <w:p>
      <w:pPr>
        <w:topLinePunct/>
        <w:spacing w:line="360" w:lineRule="auto"/>
        <w:ind w:firstLine="420" w:firstLineChars="200"/>
        <w:contextualSpacing/>
        <w:rPr>
          <w:rFonts w:ascii="宋体" w:hAnsi="宋体" w:eastAsia="宋体" w:cs="Times New Roman"/>
          <w:b/>
          <w:bCs/>
          <w:kern w:val="0"/>
          <w:szCs w:val="24"/>
        </w:rPr>
      </w:pPr>
      <w:r>
        <w:rPr>
          <w:rFonts w:hint="eastAsia" w:ascii="宋体" w:hAnsi="宋体" w:eastAsia="宋体" w:cs="Times New Roman"/>
          <w:kern w:val="0"/>
          <w:szCs w:val="24"/>
        </w:rPr>
        <w:t>应答人所在的四川大学电气信息学院在电力系统领域影响深远，学科建设覆盖面广，涉及电力、通信、自动化3个重要领域，自2009年组建智能电网四川省重点实验室以来，学院整体实力得到进一步提升。</w:t>
      </w:r>
      <w:r>
        <w:rPr>
          <w:rFonts w:hint="eastAsia" w:ascii="宋体" w:hAnsi="宋体" w:eastAsia="宋体"/>
          <w:szCs w:val="21"/>
        </w:rPr>
        <w:t>投标人所在团队拥有各式服务器、工作站、计算机一百余台，拥有强大的电力系统一次二次仿真环境与真实物理环境，具有多种应用开发环境、功能模块储备和算法储备，能够在电力系统运行控制、电力数据采集、信息系统数据采集、信息技术研发、数据应用、可视化展示等多个领域进行高效、稳定、成熟的研发。同时，本团队有多项自主技术，包含内存库、图元组件、数据绑定技术、协议解析技术等多方面技术储备</w:t>
      </w:r>
      <w:r>
        <w:rPr>
          <w:rFonts w:hint="eastAsia" w:ascii="宋体" w:hAnsi="宋体" w:eastAsia="宋体" w:cs="Times New Roman"/>
          <w:kern w:val="0"/>
          <w:szCs w:val="24"/>
        </w:rPr>
        <w:t>，具备了进一步开展深入研究所需的软硬件条件。</w:t>
      </w:r>
    </w:p>
    <w:p>
      <w:pPr>
        <w:topLinePunct/>
        <w:spacing w:line="360" w:lineRule="auto"/>
        <w:ind w:firstLine="420" w:firstLineChars="200"/>
        <w:contextualSpacing/>
        <w:rPr>
          <w:rFonts w:ascii="宋体" w:hAnsi="宋体" w:eastAsia="宋体" w:cs="Times New Roman"/>
          <w:kern w:val="0"/>
          <w:szCs w:val="24"/>
        </w:rPr>
      </w:pPr>
      <w:r>
        <w:rPr>
          <w:rFonts w:ascii="宋体" w:hAnsi="宋体" w:eastAsia="宋体" w:cs="Times New Roman"/>
          <w:kern w:val="0"/>
          <w:szCs w:val="24"/>
        </w:rPr>
        <w:t>项目应答人目前所在课题组已培养和造就了一批具有求实、创新和团结、勤奋精神的年轻有为的科技工作者，多年以来承担并出色完成了多项科研课题和任务，具备了良好的团队精神、严谨的科学态度和和谐的科学研究氛围。此外，申请人所在研究团队的资料室专业资料齐全，可以有效提高本课题参与者信息的获取和专业沟通能力。</w:t>
      </w:r>
    </w:p>
    <w:p>
      <w:pPr>
        <w:topLinePunct/>
        <w:spacing w:line="360" w:lineRule="auto"/>
        <w:ind w:firstLine="422" w:firstLineChars="200"/>
        <w:contextualSpacing/>
        <w:rPr>
          <w:rFonts w:ascii="宋体" w:hAnsi="宋体" w:eastAsia="宋体" w:cs="Times New Roman"/>
          <w:b/>
          <w:bCs/>
          <w:kern w:val="0"/>
          <w:szCs w:val="24"/>
        </w:rPr>
      </w:pPr>
      <w:r>
        <w:rPr>
          <w:rFonts w:hint="eastAsia" w:ascii="宋体" w:hAnsi="宋体" w:eastAsia="宋体" w:cs="Times New Roman"/>
          <w:b/>
          <w:bCs/>
          <w:kern w:val="0"/>
          <w:szCs w:val="24"/>
        </w:rPr>
        <w:t>（2）</w:t>
      </w:r>
      <w:r>
        <w:rPr>
          <w:rFonts w:ascii="宋体" w:hAnsi="宋体" w:eastAsia="宋体" w:cs="Times New Roman"/>
          <w:b/>
          <w:bCs/>
          <w:kern w:val="0"/>
          <w:szCs w:val="24"/>
        </w:rPr>
        <w:t>投标团队与招标项目有关的专题研究</w:t>
      </w:r>
    </w:p>
    <w:p>
      <w:pPr>
        <w:pStyle w:val="31"/>
        <w:spacing w:line="360" w:lineRule="auto"/>
        <w:ind w:firstLine="420"/>
        <w:contextualSpacing/>
        <w:rPr>
          <w:rFonts w:ascii="宋体" w:hAnsi="宋体"/>
          <w:kern w:val="0"/>
        </w:rPr>
      </w:pPr>
      <w:r>
        <w:rPr>
          <w:rFonts w:hint="eastAsia" w:ascii="宋体" w:hAnsi="宋体"/>
          <w:kern w:val="0"/>
        </w:rPr>
        <w:t>本</w:t>
      </w:r>
      <w:r>
        <w:rPr>
          <w:rFonts w:hint="eastAsia" w:ascii="宋体" w:hAnsi="宋体" w:cs="宋体"/>
          <w:kern w:val="0"/>
        </w:rPr>
        <w:t>团队</w:t>
      </w:r>
      <w:r>
        <w:rPr>
          <w:rFonts w:hint="eastAsia" w:ascii="宋体" w:hAnsi="宋体" w:cs="___WRD_EMBED_SUB_39"/>
          <w:kern w:val="0"/>
        </w:rPr>
        <w:t>研发并实</w:t>
      </w:r>
      <w:r>
        <w:rPr>
          <w:rFonts w:hint="eastAsia" w:ascii="宋体" w:hAnsi="宋体" w:cs="宋体"/>
          <w:kern w:val="0"/>
        </w:rPr>
        <w:t>施</w:t>
      </w:r>
      <w:r>
        <w:rPr>
          <w:rFonts w:hint="eastAsia" w:ascii="宋体" w:hAnsi="宋体" w:cs="___WRD_EMBED_SUB_39"/>
          <w:kern w:val="0"/>
        </w:rPr>
        <w:t>过国家</w:t>
      </w:r>
      <w:r>
        <w:rPr>
          <w:rFonts w:hint="eastAsia" w:ascii="宋体" w:hAnsi="宋体" w:cs="宋体"/>
          <w:kern w:val="0"/>
        </w:rPr>
        <w:t>级</w:t>
      </w:r>
      <w:r>
        <w:rPr>
          <w:rFonts w:hint="eastAsia" w:ascii="宋体" w:hAnsi="宋体" w:cs="___WRD_EMBED_SUB_39"/>
          <w:kern w:val="0"/>
        </w:rPr>
        <w:t>、省部</w:t>
      </w:r>
      <w:r>
        <w:rPr>
          <w:rFonts w:hint="eastAsia" w:ascii="宋体" w:hAnsi="宋体" w:cs="宋体"/>
          <w:kern w:val="0"/>
        </w:rPr>
        <w:t>级</w:t>
      </w:r>
      <w:r>
        <w:rPr>
          <w:rFonts w:hint="eastAsia" w:ascii="宋体" w:hAnsi="宋体" w:cs="___WRD_EMBED_SUB_39"/>
          <w:kern w:val="0"/>
        </w:rPr>
        <w:t>相关项目</w:t>
      </w:r>
      <w:r>
        <w:rPr>
          <w:rFonts w:hint="eastAsia" w:ascii="宋体" w:hAnsi="宋体"/>
          <w:kern w:val="0"/>
        </w:rPr>
        <w:t>200</w:t>
      </w:r>
      <w:r>
        <w:rPr>
          <w:rFonts w:hint="eastAsia" w:ascii="宋体" w:hAnsi="宋体" w:cs="宋体"/>
          <w:kern w:val="0"/>
        </w:rPr>
        <w:t>余</w:t>
      </w:r>
      <w:r>
        <w:rPr>
          <w:rFonts w:hint="eastAsia" w:ascii="宋体" w:hAnsi="宋体" w:cs="___WRD_EMBED_SUB_39"/>
          <w:kern w:val="0"/>
        </w:rPr>
        <w:t>项。</w:t>
      </w:r>
      <w:r>
        <w:rPr>
          <w:rFonts w:ascii="宋体" w:hAnsi="宋体"/>
          <w:kern w:val="0"/>
        </w:rPr>
        <w:t>在采购项目</w:t>
      </w:r>
      <w:r>
        <w:rPr>
          <w:rFonts w:hint="eastAsia" w:ascii="宋体" w:hAnsi="宋体" w:cs="宋体"/>
          <w:kern w:val="0"/>
        </w:rPr>
        <w:t>涉</w:t>
      </w:r>
      <w:r>
        <w:rPr>
          <w:rFonts w:hint="eastAsia" w:ascii="宋体" w:hAnsi="宋体" w:cs="___WRD_EMBED_SUB_39"/>
          <w:kern w:val="0"/>
        </w:rPr>
        <w:t>及的</w:t>
      </w:r>
      <w:r>
        <w:rPr>
          <w:rFonts w:hint="eastAsia" w:ascii="宋体" w:hAnsi="宋体"/>
          <w:kern w:val="0"/>
        </w:rPr>
        <w:t>电力系</w:t>
      </w:r>
      <w:r>
        <w:rPr>
          <w:rFonts w:hint="eastAsia" w:ascii="宋体" w:hAnsi="宋体" w:cs="宋体"/>
          <w:kern w:val="0"/>
        </w:rPr>
        <w:t>统</w:t>
      </w:r>
      <w:r>
        <w:rPr>
          <w:rFonts w:hint="eastAsia" w:ascii="宋体" w:hAnsi="宋体" w:cs="___WRD_EMBED_SUB_39"/>
          <w:kern w:val="0"/>
        </w:rPr>
        <w:t>大</w:t>
      </w:r>
      <w:r>
        <w:rPr>
          <w:rFonts w:hint="eastAsia" w:ascii="宋体" w:hAnsi="宋体" w:cs="宋体"/>
          <w:kern w:val="0"/>
        </w:rPr>
        <w:t>数</w:t>
      </w:r>
      <w:r>
        <w:rPr>
          <w:rFonts w:hint="eastAsia" w:ascii="宋体" w:hAnsi="宋体" w:cs="___WRD_EMBED_SUB_39"/>
          <w:kern w:val="0"/>
        </w:rPr>
        <w:t>据</w:t>
      </w:r>
      <w:r>
        <w:rPr>
          <w:rFonts w:ascii="宋体" w:hAnsi="宋体"/>
          <w:kern w:val="0"/>
        </w:rPr>
        <w:t>领</w:t>
      </w:r>
      <w:r>
        <w:rPr>
          <w:rFonts w:hint="eastAsia" w:ascii="宋体" w:hAnsi="宋体" w:cs="宋体"/>
          <w:kern w:val="0"/>
        </w:rPr>
        <w:t>域</w:t>
      </w:r>
      <w:r>
        <w:rPr>
          <w:rFonts w:hint="eastAsia" w:ascii="宋体" w:hAnsi="宋体" w:cs="___WRD_EMBED_SUB_39"/>
          <w:kern w:val="0"/>
        </w:rPr>
        <w:t>，</w:t>
      </w:r>
      <w:r>
        <w:rPr>
          <w:rFonts w:hint="eastAsia" w:ascii="宋体" w:hAnsi="宋体"/>
          <w:kern w:val="0"/>
        </w:rPr>
        <w:t>投标人及其</w:t>
      </w:r>
      <w:r>
        <w:rPr>
          <w:rFonts w:hint="eastAsia" w:ascii="宋体" w:hAnsi="宋体" w:cs="宋体"/>
          <w:kern w:val="0"/>
        </w:rPr>
        <w:t>团队具</w:t>
      </w:r>
      <w:r>
        <w:rPr>
          <w:rFonts w:hint="eastAsia" w:ascii="宋体" w:hAnsi="宋体" w:cs="___WRD_EMBED_SUB_39"/>
          <w:kern w:val="0"/>
        </w:rPr>
        <w:t>备</w:t>
      </w:r>
      <w:r>
        <w:rPr>
          <w:rFonts w:hint="eastAsia" w:ascii="宋体" w:hAnsi="宋体" w:cs="宋体"/>
          <w:kern w:val="0"/>
        </w:rPr>
        <w:t>较</w:t>
      </w:r>
      <w:r>
        <w:rPr>
          <w:rFonts w:hint="eastAsia" w:ascii="宋体" w:hAnsi="宋体" w:cs="___WRD_EMBED_SUB_39"/>
          <w:kern w:val="0"/>
        </w:rPr>
        <w:t>为</w:t>
      </w:r>
      <w:r>
        <w:rPr>
          <w:rFonts w:hint="eastAsia" w:ascii="宋体" w:hAnsi="宋体" w:cs="宋体"/>
          <w:kern w:val="0"/>
        </w:rPr>
        <w:t>坚</w:t>
      </w:r>
      <w:r>
        <w:rPr>
          <w:rFonts w:hint="eastAsia" w:ascii="宋体" w:hAnsi="宋体" w:cs="___WRD_EMBED_SUB_39"/>
          <w:kern w:val="0"/>
        </w:rPr>
        <w:t>实的研究</w:t>
      </w:r>
      <w:r>
        <w:rPr>
          <w:rFonts w:hint="eastAsia" w:ascii="宋体" w:hAnsi="宋体" w:cs="宋体"/>
          <w:kern w:val="0"/>
        </w:rPr>
        <w:t>基础</w:t>
      </w:r>
      <w:r>
        <w:rPr>
          <w:rFonts w:hint="eastAsia" w:ascii="宋体" w:hAnsi="宋体"/>
          <w:kern w:val="0"/>
        </w:rPr>
        <w:t>。</w:t>
      </w:r>
      <w:r>
        <w:rPr>
          <w:rFonts w:hint="eastAsia" w:ascii="宋体" w:hAnsi="宋体" w:cs="宋体"/>
          <w:kern w:val="0"/>
        </w:rPr>
        <w:t>近几</w:t>
      </w:r>
      <w:r>
        <w:rPr>
          <w:rFonts w:hint="eastAsia" w:ascii="宋体" w:hAnsi="宋体" w:cs="___WRD_EMBED_SUB_39"/>
          <w:kern w:val="0"/>
        </w:rPr>
        <w:t>年在相关领</w:t>
      </w:r>
      <w:r>
        <w:rPr>
          <w:rFonts w:hint="eastAsia" w:ascii="宋体" w:hAnsi="宋体" w:cs="宋体"/>
          <w:kern w:val="0"/>
        </w:rPr>
        <w:t>域</w:t>
      </w:r>
      <w:r>
        <w:rPr>
          <w:rFonts w:hint="eastAsia" w:ascii="宋体" w:hAnsi="宋体" w:cs="___WRD_EMBED_SUB_39"/>
          <w:kern w:val="0"/>
        </w:rPr>
        <w:t>进行过</w:t>
      </w:r>
      <w:r>
        <w:rPr>
          <w:rFonts w:hint="eastAsia" w:ascii="宋体" w:hAnsi="宋体" w:cs="宋体"/>
          <w:kern w:val="0"/>
        </w:rPr>
        <w:t>多</w:t>
      </w:r>
      <w:r>
        <w:rPr>
          <w:rFonts w:hint="eastAsia" w:ascii="宋体" w:hAnsi="宋体" w:cs="___WRD_EMBED_SUB_39"/>
          <w:kern w:val="0"/>
        </w:rPr>
        <w:t>项项目研发，并形成一定的</w:t>
      </w:r>
      <w:r>
        <w:rPr>
          <w:rFonts w:hint="eastAsia" w:ascii="宋体" w:hAnsi="宋体" w:cs="宋体"/>
          <w:kern w:val="0"/>
        </w:rPr>
        <w:t>科</w:t>
      </w:r>
      <w:r>
        <w:rPr>
          <w:rFonts w:hint="eastAsia" w:ascii="宋体" w:hAnsi="宋体" w:cs="___WRD_EMBED_SUB_39"/>
          <w:kern w:val="0"/>
        </w:rPr>
        <w:t>研成果。本项目</w:t>
      </w:r>
      <w:r>
        <w:rPr>
          <w:rFonts w:hint="eastAsia" w:ascii="宋体" w:hAnsi="宋体" w:cs="宋体"/>
          <w:kern w:val="0"/>
        </w:rPr>
        <w:t>涉</w:t>
      </w:r>
      <w:r>
        <w:rPr>
          <w:rFonts w:hint="eastAsia" w:ascii="宋体" w:hAnsi="宋体" w:cs="___WRD_EMBED_SUB_39"/>
          <w:kern w:val="0"/>
        </w:rPr>
        <w:t>及地理信息、三</w:t>
      </w:r>
      <w:r>
        <w:rPr>
          <w:rFonts w:hint="eastAsia" w:ascii="宋体" w:hAnsi="宋体" w:cs="宋体"/>
          <w:kern w:val="0"/>
        </w:rPr>
        <w:t>维</w:t>
      </w:r>
      <w:r>
        <w:rPr>
          <w:rFonts w:hint="eastAsia" w:ascii="宋体" w:hAnsi="宋体" w:cs="___WRD_EMBED_SUB_39"/>
          <w:kern w:val="0"/>
        </w:rPr>
        <w:t>可视</w:t>
      </w:r>
      <w:r>
        <w:rPr>
          <w:rFonts w:hint="eastAsia" w:ascii="宋体" w:hAnsi="宋体" w:cs="宋体"/>
          <w:kern w:val="0"/>
        </w:rPr>
        <w:t>化</w:t>
      </w:r>
      <w:r>
        <w:rPr>
          <w:rFonts w:hint="eastAsia" w:ascii="宋体" w:hAnsi="宋体" w:cs="___WRD_EMBED_SUB_39"/>
          <w:kern w:val="0"/>
        </w:rPr>
        <w:t>、电力生产</w:t>
      </w:r>
      <w:r>
        <w:rPr>
          <w:rFonts w:hint="eastAsia" w:ascii="宋体" w:hAnsi="宋体" w:cs="宋体"/>
          <w:kern w:val="0"/>
        </w:rPr>
        <w:t>数</w:t>
      </w:r>
      <w:r>
        <w:rPr>
          <w:rFonts w:hint="eastAsia" w:ascii="宋体" w:hAnsi="宋体" w:cs="___WRD_EMBED_SUB_39"/>
          <w:kern w:val="0"/>
        </w:rPr>
        <w:t>据采</w:t>
      </w:r>
      <w:r>
        <w:rPr>
          <w:rFonts w:hint="eastAsia" w:ascii="宋体" w:hAnsi="宋体" w:cs="宋体"/>
          <w:kern w:val="0"/>
        </w:rPr>
        <w:t>集</w:t>
      </w:r>
      <w:r>
        <w:rPr>
          <w:rFonts w:hint="eastAsia" w:ascii="宋体" w:hAnsi="宋体" w:cs="___WRD_EMBED_SUB_39"/>
          <w:kern w:val="0"/>
        </w:rPr>
        <w:t>三大</w:t>
      </w:r>
      <w:r>
        <w:rPr>
          <w:rFonts w:hint="eastAsia" w:ascii="宋体" w:hAnsi="宋体" w:cs="宋体"/>
          <w:kern w:val="0"/>
        </w:rPr>
        <w:t>子</w:t>
      </w:r>
      <w:r>
        <w:rPr>
          <w:rFonts w:hint="eastAsia" w:ascii="宋体" w:hAnsi="宋体" w:cs="___WRD_EMBED_SUB_39"/>
          <w:kern w:val="0"/>
        </w:rPr>
        <w:t>系</w:t>
      </w:r>
      <w:r>
        <w:rPr>
          <w:rFonts w:hint="eastAsia" w:ascii="宋体" w:hAnsi="宋体" w:cs="宋体"/>
          <w:kern w:val="0"/>
        </w:rPr>
        <w:t>统</w:t>
      </w:r>
      <w:r>
        <w:rPr>
          <w:rFonts w:hint="eastAsia" w:ascii="宋体" w:hAnsi="宋体" w:cs="___WRD_EMBED_SUB_39"/>
          <w:kern w:val="0"/>
        </w:rPr>
        <w:t>技术投标人</w:t>
      </w:r>
      <w:r>
        <w:rPr>
          <w:rFonts w:hint="eastAsia" w:ascii="宋体" w:hAnsi="宋体" w:cs="宋体"/>
          <w:kern w:val="0"/>
        </w:rPr>
        <w:t>团队均从</w:t>
      </w:r>
      <w:r>
        <w:rPr>
          <w:rFonts w:hint="eastAsia" w:ascii="宋体" w:hAnsi="宋体" w:cs="___WRD_EMBED_SUB_39"/>
          <w:kern w:val="0"/>
        </w:rPr>
        <w:t>事过相关项目的研发。</w:t>
      </w:r>
      <w:r>
        <w:rPr>
          <w:rFonts w:hint="eastAsia" w:ascii="宋体" w:hAnsi="宋体"/>
          <w:szCs w:val="21"/>
        </w:rPr>
        <w:t>如“主动</w:t>
      </w:r>
      <w:r>
        <w:rPr>
          <w:rFonts w:hint="eastAsia" w:ascii="宋体" w:hAnsi="宋体" w:cs="宋体"/>
          <w:szCs w:val="21"/>
        </w:rPr>
        <w:t>配</w:t>
      </w:r>
      <w:r>
        <w:rPr>
          <w:rFonts w:hint="eastAsia" w:ascii="宋体" w:hAnsi="宋体" w:cs="___WRD_EMBED_SUB_39"/>
          <w:szCs w:val="21"/>
        </w:rPr>
        <w:t>电网关</w:t>
      </w:r>
      <w:r>
        <w:rPr>
          <w:rFonts w:hint="eastAsia" w:ascii="宋体" w:hAnsi="宋体" w:cs="宋体"/>
          <w:szCs w:val="21"/>
        </w:rPr>
        <w:t>键</w:t>
      </w:r>
      <w:r>
        <w:rPr>
          <w:rFonts w:hint="eastAsia" w:ascii="宋体" w:hAnsi="宋体" w:cs="___WRD_EMBED_SUB_39"/>
          <w:szCs w:val="21"/>
        </w:rPr>
        <w:t>技术研究及示范”项目</w:t>
      </w:r>
      <w:r>
        <w:rPr>
          <w:rFonts w:hint="eastAsia" w:ascii="宋体" w:hAnsi="宋体"/>
          <w:szCs w:val="21"/>
        </w:rPr>
        <w:t>（国家高技术研究发</w:t>
      </w:r>
      <w:r>
        <w:rPr>
          <w:rFonts w:hint="eastAsia" w:ascii="宋体" w:hAnsi="宋体" w:cs="宋体"/>
          <w:szCs w:val="21"/>
        </w:rPr>
        <w:t>展</w:t>
      </w:r>
      <w:r>
        <w:rPr>
          <w:rFonts w:hint="eastAsia" w:ascii="宋体" w:hAnsi="宋体" w:cs="___WRD_EMBED_SUB_39"/>
          <w:szCs w:val="21"/>
        </w:rPr>
        <w:t>计</w:t>
      </w:r>
      <w:r>
        <w:rPr>
          <w:rFonts w:hint="eastAsia" w:ascii="宋体" w:hAnsi="宋体" w:cs="宋体"/>
          <w:szCs w:val="21"/>
        </w:rPr>
        <w:t>划</w:t>
      </w:r>
      <w:r>
        <w:rPr>
          <w:rFonts w:hint="eastAsia" w:ascii="宋体" w:hAnsi="宋体" w:cs="___WRD_EMBED_SUB_39"/>
          <w:szCs w:val="21"/>
        </w:rPr>
        <w:t>，</w:t>
      </w:r>
      <w:r>
        <w:rPr>
          <w:rFonts w:hint="eastAsia" w:ascii="宋体" w:hAnsi="宋体"/>
          <w:szCs w:val="21"/>
        </w:rPr>
        <w:t>863计</w:t>
      </w:r>
      <w:r>
        <w:rPr>
          <w:rFonts w:hint="eastAsia" w:ascii="宋体" w:hAnsi="宋体" w:cs="宋体"/>
          <w:szCs w:val="21"/>
        </w:rPr>
        <w:t>划课</w:t>
      </w:r>
      <w:r>
        <w:rPr>
          <w:rFonts w:hint="eastAsia" w:ascii="宋体" w:hAnsi="宋体" w:cs="___WRD_EMBED_SUB_39"/>
          <w:szCs w:val="21"/>
        </w:rPr>
        <w:t>题）使用了地理信息技术和</w:t>
      </w:r>
      <w:r>
        <w:rPr>
          <w:rFonts w:hint="eastAsia" w:ascii="宋体" w:hAnsi="宋体"/>
          <w:szCs w:val="21"/>
        </w:rPr>
        <w:t>电网三</w:t>
      </w:r>
      <w:r>
        <w:rPr>
          <w:rFonts w:hint="eastAsia" w:ascii="宋体" w:hAnsi="宋体" w:cs="宋体"/>
          <w:szCs w:val="21"/>
        </w:rPr>
        <w:t>维</w:t>
      </w:r>
      <w:r>
        <w:rPr>
          <w:rFonts w:hint="eastAsia" w:ascii="宋体" w:hAnsi="宋体" w:cs="___WRD_EMBED_SUB_39"/>
          <w:szCs w:val="21"/>
        </w:rPr>
        <w:t>可视</w:t>
      </w:r>
      <w:r>
        <w:rPr>
          <w:rFonts w:hint="eastAsia" w:ascii="宋体" w:hAnsi="宋体" w:cs="宋体"/>
          <w:szCs w:val="21"/>
        </w:rPr>
        <w:t>化</w:t>
      </w:r>
      <w:r>
        <w:rPr>
          <w:rFonts w:hint="eastAsia" w:ascii="宋体" w:hAnsi="宋体" w:cs="___WRD_EMBED_SUB_39"/>
          <w:szCs w:val="21"/>
        </w:rPr>
        <w:t>技术</w:t>
      </w:r>
      <w:r>
        <w:rPr>
          <w:rFonts w:hint="eastAsia" w:ascii="宋体" w:hAnsi="宋体"/>
          <w:szCs w:val="21"/>
        </w:rPr>
        <w:t>；在“交</w:t>
      </w:r>
      <w:r>
        <w:rPr>
          <w:rFonts w:hint="eastAsia" w:ascii="宋体" w:hAnsi="宋体" w:cs="宋体"/>
          <w:szCs w:val="21"/>
        </w:rPr>
        <w:t>直</w:t>
      </w:r>
      <w:r>
        <w:rPr>
          <w:rFonts w:hint="eastAsia" w:ascii="宋体" w:hAnsi="宋体" w:cs="___WRD_EMBED_SUB_39"/>
          <w:szCs w:val="21"/>
        </w:rPr>
        <w:t>流</w:t>
      </w:r>
      <w:r>
        <w:rPr>
          <w:rFonts w:hint="eastAsia" w:ascii="宋体" w:hAnsi="宋体" w:cs="宋体"/>
          <w:szCs w:val="21"/>
        </w:rPr>
        <w:t>混</w:t>
      </w:r>
      <w:r>
        <w:rPr>
          <w:rFonts w:hint="eastAsia" w:ascii="宋体" w:hAnsi="宋体" w:cs="___WRD_EMBED_SUB_39"/>
          <w:szCs w:val="21"/>
        </w:rPr>
        <w:t>合的分</w:t>
      </w:r>
      <w:r>
        <w:rPr>
          <w:rFonts w:hint="eastAsia" w:ascii="宋体" w:hAnsi="宋体" w:cs="宋体"/>
          <w:szCs w:val="21"/>
        </w:rPr>
        <w:t>布</w:t>
      </w:r>
      <w:r>
        <w:rPr>
          <w:rFonts w:hint="eastAsia" w:ascii="宋体" w:hAnsi="宋体" w:cs="___WRD_EMBED_SUB_39"/>
          <w:szCs w:val="21"/>
        </w:rPr>
        <w:t>式可再生能</w:t>
      </w:r>
      <w:r>
        <w:rPr>
          <w:rFonts w:hint="eastAsia" w:ascii="宋体" w:hAnsi="宋体" w:cs="宋体"/>
          <w:szCs w:val="21"/>
        </w:rPr>
        <w:t>源</w:t>
      </w:r>
      <w:r>
        <w:rPr>
          <w:rFonts w:hint="eastAsia" w:ascii="宋体" w:hAnsi="宋体" w:cs="___WRD_EMBED_SUB_39"/>
          <w:szCs w:val="21"/>
        </w:rPr>
        <w:t>技术</w:t>
      </w:r>
      <w:r>
        <w:rPr>
          <w:rFonts w:hint="eastAsia" w:ascii="宋体" w:hAnsi="宋体"/>
          <w:szCs w:val="21"/>
        </w:rPr>
        <w:t>”项目中应用了对电力</w:t>
      </w:r>
      <w:r>
        <w:rPr>
          <w:rFonts w:hint="eastAsia" w:ascii="宋体" w:hAnsi="宋体" w:cs="宋体"/>
          <w:szCs w:val="21"/>
        </w:rPr>
        <w:t>微</w:t>
      </w:r>
      <w:r>
        <w:rPr>
          <w:rFonts w:hint="eastAsia" w:ascii="宋体" w:hAnsi="宋体" w:cs="___WRD_EMBED_SUB_39"/>
          <w:szCs w:val="21"/>
        </w:rPr>
        <w:t>网路由器等关</w:t>
      </w:r>
      <w:r>
        <w:rPr>
          <w:rFonts w:hint="eastAsia" w:ascii="宋体" w:hAnsi="宋体" w:cs="宋体"/>
          <w:szCs w:val="21"/>
        </w:rPr>
        <w:t>键</w:t>
      </w:r>
      <w:r>
        <w:rPr>
          <w:rFonts w:hint="eastAsia" w:ascii="宋体" w:hAnsi="宋体" w:cs="___WRD_EMBED_SUB_39"/>
          <w:szCs w:val="21"/>
        </w:rPr>
        <w:t>设备三</w:t>
      </w:r>
      <w:r>
        <w:rPr>
          <w:rFonts w:hint="eastAsia" w:ascii="宋体" w:hAnsi="宋体" w:cs="宋体"/>
          <w:szCs w:val="21"/>
        </w:rPr>
        <w:t>维模型</w:t>
      </w:r>
      <w:r>
        <w:rPr>
          <w:rFonts w:hint="eastAsia" w:ascii="宋体" w:hAnsi="宋体" w:cs="___WRD_EMBED_SUB_39"/>
          <w:szCs w:val="21"/>
        </w:rPr>
        <w:t>动</w:t>
      </w:r>
      <w:r>
        <w:rPr>
          <w:rFonts w:hint="eastAsia" w:ascii="宋体" w:hAnsi="宋体" w:cs="宋体"/>
          <w:szCs w:val="21"/>
        </w:rPr>
        <w:t>态</w:t>
      </w:r>
      <w:r>
        <w:rPr>
          <w:rFonts w:hint="eastAsia" w:ascii="宋体" w:hAnsi="宋体" w:cs="___WRD_EMBED_SUB_39"/>
          <w:szCs w:val="21"/>
        </w:rPr>
        <w:t>组合分解技术。同时</w:t>
      </w:r>
      <w:r>
        <w:rPr>
          <w:rFonts w:hint="eastAsia" w:ascii="宋体" w:hAnsi="宋体"/>
          <w:szCs w:val="21"/>
        </w:rPr>
        <w:t>投标人</w:t>
      </w:r>
      <w:r>
        <w:rPr>
          <w:rFonts w:hint="eastAsia" w:ascii="宋体" w:hAnsi="宋体" w:cs="宋体"/>
          <w:szCs w:val="21"/>
        </w:rPr>
        <w:t>团队</w:t>
      </w:r>
      <w:r>
        <w:rPr>
          <w:rFonts w:hint="eastAsia" w:ascii="宋体" w:hAnsi="宋体" w:cs="___WRD_EMBED_SUB_39"/>
          <w:szCs w:val="21"/>
        </w:rPr>
        <w:t>技术人员</w:t>
      </w:r>
      <w:r>
        <w:rPr>
          <w:rFonts w:hint="eastAsia" w:ascii="宋体" w:hAnsi="宋体" w:cs="宋体"/>
          <w:szCs w:val="21"/>
        </w:rPr>
        <w:t>曾多</w:t>
      </w:r>
      <w:r>
        <w:rPr>
          <w:rFonts w:hint="eastAsia" w:ascii="宋体" w:hAnsi="宋体" w:cs="___WRD_EMBED_SUB_39"/>
          <w:szCs w:val="21"/>
        </w:rPr>
        <w:t>次参加应用系</w:t>
      </w:r>
      <w:r>
        <w:rPr>
          <w:rFonts w:hint="eastAsia" w:ascii="宋体" w:hAnsi="宋体" w:cs="宋体"/>
          <w:szCs w:val="21"/>
        </w:rPr>
        <w:t>统</w:t>
      </w:r>
      <w:r>
        <w:rPr>
          <w:rFonts w:hint="eastAsia" w:ascii="宋体" w:hAnsi="宋体" w:cs="___WRD_EMBED_SUB_39"/>
          <w:szCs w:val="21"/>
        </w:rPr>
        <w:t>性能</w:t>
      </w:r>
      <w:r>
        <w:rPr>
          <w:rFonts w:hint="eastAsia" w:ascii="宋体" w:hAnsi="宋体" w:cs="宋体"/>
          <w:szCs w:val="21"/>
        </w:rPr>
        <w:t>监控管</w:t>
      </w:r>
      <w:r>
        <w:rPr>
          <w:rFonts w:hint="eastAsia" w:ascii="宋体" w:hAnsi="宋体" w:cs="___WRD_EMBED_SUB_39"/>
          <w:szCs w:val="21"/>
        </w:rPr>
        <w:t>理系</w:t>
      </w:r>
      <w:r>
        <w:rPr>
          <w:rFonts w:hint="eastAsia" w:ascii="宋体" w:hAnsi="宋体" w:cs="宋体"/>
          <w:szCs w:val="21"/>
        </w:rPr>
        <w:t>统</w:t>
      </w:r>
      <w:r>
        <w:rPr>
          <w:rFonts w:hint="eastAsia" w:ascii="宋体" w:hAnsi="宋体" w:cs="___WRD_EMBED_SUB_39"/>
          <w:szCs w:val="21"/>
        </w:rPr>
        <w:t>、信息系</w:t>
      </w:r>
      <w:r>
        <w:rPr>
          <w:rFonts w:hint="eastAsia" w:ascii="宋体" w:hAnsi="宋体" w:cs="宋体"/>
          <w:szCs w:val="21"/>
        </w:rPr>
        <w:t>统运</w:t>
      </w:r>
      <w:r>
        <w:rPr>
          <w:rFonts w:hint="eastAsia" w:ascii="宋体" w:hAnsi="宋体" w:cs="___WRD_EMBED_SUB_39"/>
          <w:szCs w:val="21"/>
        </w:rPr>
        <w:t>行</w:t>
      </w:r>
      <w:r>
        <w:rPr>
          <w:rFonts w:hint="eastAsia" w:ascii="宋体" w:hAnsi="宋体" w:cs="宋体"/>
          <w:szCs w:val="21"/>
        </w:rPr>
        <w:t>状态监</w:t>
      </w:r>
      <w:r>
        <w:rPr>
          <w:rFonts w:hint="eastAsia" w:ascii="宋体" w:hAnsi="宋体" w:cs="___WRD_EMBED_SUB_39"/>
          <w:szCs w:val="21"/>
        </w:rPr>
        <w:t>视与预</w:t>
      </w:r>
      <w:r>
        <w:rPr>
          <w:rFonts w:hint="eastAsia" w:ascii="宋体" w:hAnsi="宋体" w:cs="宋体"/>
          <w:szCs w:val="21"/>
        </w:rPr>
        <w:t>警平台</w:t>
      </w:r>
      <w:r>
        <w:rPr>
          <w:rFonts w:hint="eastAsia" w:ascii="宋体" w:hAnsi="宋体"/>
          <w:szCs w:val="21"/>
        </w:rPr>
        <w:t>、省地一体</w:t>
      </w:r>
      <w:r>
        <w:rPr>
          <w:rFonts w:hint="eastAsia" w:ascii="宋体" w:hAnsi="宋体" w:cs="宋体"/>
          <w:szCs w:val="21"/>
        </w:rPr>
        <w:t>化</w:t>
      </w:r>
      <w:r>
        <w:rPr>
          <w:rFonts w:hint="eastAsia" w:ascii="宋体" w:hAnsi="宋体" w:cs="___WRD_EMBED_SUB_39"/>
          <w:szCs w:val="21"/>
        </w:rPr>
        <w:t>信息系</w:t>
      </w:r>
      <w:r>
        <w:rPr>
          <w:rFonts w:hint="eastAsia" w:ascii="宋体" w:hAnsi="宋体" w:cs="宋体"/>
          <w:szCs w:val="21"/>
        </w:rPr>
        <w:t>统运</w:t>
      </w:r>
      <w:r>
        <w:rPr>
          <w:rFonts w:hint="eastAsia" w:ascii="宋体" w:hAnsi="宋体" w:cs="___WRD_EMBED_SUB_39"/>
          <w:szCs w:val="21"/>
        </w:rPr>
        <w:t>行</w:t>
      </w:r>
      <w:r>
        <w:rPr>
          <w:rFonts w:hint="eastAsia" w:ascii="宋体" w:hAnsi="宋体" w:cs="宋体"/>
          <w:szCs w:val="21"/>
        </w:rPr>
        <w:t>状态监</w:t>
      </w:r>
      <w:r>
        <w:rPr>
          <w:rFonts w:hint="eastAsia" w:ascii="宋体" w:hAnsi="宋体" w:cs="___WRD_EMBED_SUB_39"/>
          <w:szCs w:val="21"/>
        </w:rPr>
        <w:t>视与预</w:t>
      </w:r>
      <w:r>
        <w:rPr>
          <w:rFonts w:hint="eastAsia" w:ascii="宋体" w:hAnsi="宋体" w:cs="宋体"/>
          <w:szCs w:val="21"/>
        </w:rPr>
        <w:t>警平台</w:t>
      </w:r>
      <w:r>
        <w:rPr>
          <w:rFonts w:hint="eastAsia" w:ascii="宋体" w:hAnsi="宋体" w:cs="___WRD_EMBED_SUB_39"/>
          <w:szCs w:val="21"/>
        </w:rPr>
        <w:t>等方</w:t>
      </w:r>
      <w:r>
        <w:rPr>
          <w:rFonts w:hint="eastAsia" w:ascii="宋体" w:hAnsi="宋体" w:cs="宋体"/>
          <w:szCs w:val="21"/>
        </w:rPr>
        <w:t>面</w:t>
      </w:r>
      <w:r>
        <w:rPr>
          <w:rFonts w:hint="eastAsia" w:ascii="宋体" w:hAnsi="宋体" w:cs="___WRD_EMBED_SUB_39"/>
          <w:szCs w:val="21"/>
        </w:rPr>
        <w:t>的系</w:t>
      </w:r>
      <w:r>
        <w:rPr>
          <w:rFonts w:hint="eastAsia" w:ascii="宋体" w:hAnsi="宋体" w:cs="宋体"/>
          <w:szCs w:val="21"/>
        </w:rPr>
        <w:t>统</w:t>
      </w:r>
      <w:r>
        <w:rPr>
          <w:rFonts w:hint="eastAsia" w:ascii="宋体" w:hAnsi="宋体" w:cs="___WRD_EMBED_SUB_39"/>
          <w:szCs w:val="21"/>
        </w:rPr>
        <w:t>研发，在</w:t>
      </w:r>
      <w:r>
        <w:rPr>
          <w:rFonts w:hint="eastAsia" w:ascii="宋体" w:hAnsi="宋体" w:cs="宋体"/>
          <w:szCs w:val="21"/>
        </w:rPr>
        <w:t>远</w:t>
      </w:r>
      <w:r>
        <w:rPr>
          <w:rFonts w:hint="eastAsia" w:ascii="宋体" w:hAnsi="宋体" w:cs="___WRD_EMBED_SUB_39"/>
          <w:szCs w:val="21"/>
        </w:rPr>
        <w:t>程</w:t>
      </w:r>
      <w:r>
        <w:rPr>
          <w:rFonts w:hint="eastAsia" w:ascii="宋体" w:hAnsi="宋体" w:cs="宋体"/>
          <w:szCs w:val="21"/>
        </w:rPr>
        <w:t>数</w:t>
      </w:r>
      <w:r>
        <w:rPr>
          <w:rFonts w:hint="eastAsia" w:ascii="宋体" w:hAnsi="宋体" w:cs="___WRD_EMBED_SUB_39"/>
          <w:szCs w:val="21"/>
        </w:rPr>
        <w:t>据</w:t>
      </w:r>
      <w:r>
        <w:rPr>
          <w:rFonts w:hint="eastAsia" w:ascii="宋体" w:hAnsi="宋体"/>
          <w:szCs w:val="21"/>
        </w:rPr>
        <w:t>采</w:t>
      </w:r>
      <w:r>
        <w:rPr>
          <w:rFonts w:hint="eastAsia" w:ascii="宋体" w:hAnsi="宋体" w:cs="宋体"/>
          <w:szCs w:val="21"/>
        </w:rPr>
        <w:t>集监</w:t>
      </w:r>
      <w:r>
        <w:rPr>
          <w:rFonts w:hint="eastAsia" w:ascii="宋体" w:hAnsi="宋体" w:cs="___WRD_EMBED_SUB_39"/>
          <w:szCs w:val="21"/>
        </w:rPr>
        <w:t>视</w:t>
      </w:r>
      <w:r>
        <w:rPr>
          <w:rFonts w:hint="eastAsia" w:ascii="宋体" w:hAnsi="宋体"/>
          <w:szCs w:val="21"/>
        </w:rPr>
        <w:t>等</w:t>
      </w:r>
      <w:r>
        <w:rPr>
          <w:rFonts w:hint="eastAsia" w:ascii="宋体" w:hAnsi="宋体" w:cs="宋体"/>
          <w:szCs w:val="21"/>
        </w:rPr>
        <w:t>诸多</w:t>
      </w:r>
      <w:r>
        <w:rPr>
          <w:rFonts w:hint="eastAsia" w:ascii="宋体" w:hAnsi="宋体" w:cs="___WRD_EMBED_SUB_39"/>
          <w:szCs w:val="21"/>
        </w:rPr>
        <w:t>领</w:t>
      </w:r>
      <w:r>
        <w:rPr>
          <w:rFonts w:hint="eastAsia" w:ascii="宋体" w:hAnsi="宋体" w:cs="宋体"/>
          <w:szCs w:val="21"/>
        </w:rPr>
        <w:t>域</w:t>
      </w:r>
      <w:r>
        <w:rPr>
          <w:rFonts w:hint="eastAsia" w:ascii="宋体" w:hAnsi="宋体" w:cs="___WRD_EMBED_SUB_39"/>
          <w:szCs w:val="21"/>
        </w:rPr>
        <w:t>，有</w:t>
      </w:r>
      <w:r>
        <w:rPr>
          <w:rFonts w:hint="eastAsia" w:ascii="宋体" w:hAnsi="宋体" w:cs="宋体"/>
          <w:szCs w:val="21"/>
        </w:rPr>
        <w:t>多</w:t>
      </w:r>
      <w:r>
        <w:rPr>
          <w:rFonts w:hint="eastAsia" w:ascii="宋体" w:hAnsi="宋体" w:cs="___WRD_EMBED_SUB_39"/>
          <w:szCs w:val="21"/>
        </w:rPr>
        <w:t>项成</w:t>
      </w:r>
      <w:r>
        <w:rPr>
          <w:rFonts w:hint="eastAsia" w:ascii="宋体" w:hAnsi="宋体" w:cs="宋体"/>
          <w:szCs w:val="21"/>
        </w:rPr>
        <w:t>功</w:t>
      </w:r>
      <w:r>
        <w:rPr>
          <w:rFonts w:hint="eastAsia" w:ascii="宋体" w:hAnsi="宋体" w:cs="___WRD_EMBED_SUB_39"/>
          <w:szCs w:val="21"/>
        </w:rPr>
        <w:t>实</w:t>
      </w:r>
      <w:r>
        <w:rPr>
          <w:rFonts w:hint="eastAsia" w:ascii="宋体" w:hAnsi="宋体" w:cs="宋体"/>
          <w:szCs w:val="21"/>
        </w:rPr>
        <w:t>施案</w:t>
      </w:r>
      <w:r>
        <w:rPr>
          <w:rFonts w:hint="eastAsia" w:ascii="宋体" w:hAnsi="宋体" w:cs="___WRD_EMBED_SUB_39"/>
          <w:szCs w:val="21"/>
        </w:rPr>
        <w:t>例</w:t>
      </w:r>
      <w:r>
        <w:rPr>
          <w:rFonts w:hint="eastAsia" w:ascii="宋体" w:hAnsi="宋体"/>
          <w:szCs w:val="21"/>
        </w:rPr>
        <w:t>，</w:t>
      </w:r>
      <w:r>
        <w:rPr>
          <w:rFonts w:hint="eastAsia" w:ascii="宋体" w:hAnsi="宋体" w:cs="宋体"/>
          <w:szCs w:val="21"/>
        </w:rPr>
        <w:t>具</w:t>
      </w:r>
      <w:r>
        <w:rPr>
          <w:rFonts w:hint="eastAsia" w:ascii="宋体" w:hAnsi="宋体" w:cs="___WRD_EMBED_SUB_39"/>
          <w:szCs w:val="21"/>
        </w:rPr>
        <w:t>有</w:t>
      </w:r>
      <w:r>
        <w:rPr>
          <w:rFonts w:hint="eastAsia" w:ascii="宋体" w:hAnsi="宋体" w:cs="宋体"/>
          <w:szCs w:val="21"/>
        </w:rPr>
        <w:t>丰富</w:t>
      </w:r>
      <w:r>
        <w:rPr>
          <w:rFonts w:hint="eastAsia" w:ascii="宋体" w:hAnsi="宋体" w:cs="___WRD_EMBED_SUB_39"/>
          <w:szCs w:val="21"/>
        </w:rPr>
        <w:t>的实</w:t>
      </w:r>
      <w:r>
        <w:rPr>
          <w:rFonts w:hint="eastAsia" w:ascii="宋体" w:hAnsi="宋体" w:cs="宋体"/>
          <w:szCs w:val="21"/>
        </w:rPr>
        <w:t>践经</w:t>
      </w:r>
      <w:r>
        <w:rPr>
          <w:rFonts w:hint="eastAsia" w:ascii="宋体" w:hAnsi="宋体" w:cs="___WRD_EMBED_SUB_39"/>
          <w:szCs w:val="21"/>
        </w:rPr>
        <w:t>验和</w:t>
      </w:r>
      <w:r>
        <w:rPr>
          <w:rFonts w:hint="eastAsia" w:ascii="宋体" w:hAnsi="宋体" w:cs="宋体"/>
          <w:szCs w:val="21"/>
        </w:rPr>
        <w:t>科</w:t>
      </w:r>
      <w:r>
        <w:rPr>
          <w:rFonts w:hint="eastAsia" w:ascii="宋体" w:hAnsi="宋体" w:cs="___WRD_EMBED_SUB_39"/>
          <w:szCs w:val="21"/>
        </w:rPr>
        <w:t>研能力，对相关系</w:t>
      </w:r>
      <w:r>
        <w:rPr>
          <w:rFonts w:hint="eastAsia" w:ascii="宋体" w:hAnsi="宋体" w:cs="宋体"/>
          <w:szCs w:val="21"/>
        </w:rPr>
        <w:t>统</w:t>
      </w:r>
      <w:r>
        <w:rPr>
          <w:rFonts w:hint="eastAsia" w:ascii="宋体" w:hAnsi="宋体" w:cs="___WRD_EMBED_SUB_39"/>
          <w:szCs w:val="21"/>
        </w:rPr>
        <w:t>在</w:t>
      </w:r>
      <w:r>
        <w:rPr>
          <w:rFonts w:hint="eastAsia" w:ascii="宋体" w:hAnsi="宋体"/>
          <w:szCs w:val="21"/>
        </w:rPr>
        <w:t>项目</w:t>
      </w:r>
      <w:r>
        <w:rPr>
          <w:rFonts w:hint="eastAsia" w:ascii="宋体" w:hAnsi="宋体" w:cs="宋体"/>
          <w:szCs w:val="21"/>
        </w:rPr>
        <w:t>涉</w:t>
      </w:r>
      <w:r>
        <w:rPr>
          <w:rFonts w:hint="eastAsia" w:ascii="宋体" w:hAnsi="宋体" w:cs="___WRD_EMBED_SUB_39"/>
          <w:szCs w:val="21"/>
        </w:rPr>
        <w:t>及技术</w:t>
      </w:r>
      <w:r>
        <w:rPr>
          <w:rFonts w:hint="eastAsia" w:ascii="宋体" w:hAnsi="宋体"/>
          <w:szCs w:val="21"/>
        </w:rPr>
        <w:t>领</w:t>
      </w:r>
      <w:r>
        <w:rPr>
          <w:rFonts w:hint="eastAsia" w:ascii="宋体" w:hAnsi="宋体" w:cs="宋体"/>
          <w:szCs w:val="21"/>
        </w:rPr>
        <w:t>域</w:t>
      </w:r>
      <w:r>
        <w:rPr>
          <w:rFonts w:hint="eastAsia" w:ascii="宋体" w:hAnsi="宋体" w:cs="___WRD_EMBED_SUB_39"/>
          <w:szCs w:val="21"/>
        </w:rPr>
        <w:t>的高效利用设计理</w:t>
      </w:r>
      <w:r>
        <w:rPr>
          <w:rFonts w:hint="eastAsia" w:ascii="宋体" w:hAnsi="宋体" w:cs="宋体"/>
          <w:szCs w:val="21"/>
        </w:rPr>
        <w:t>念</w:t>
      </w:r>
      <w:r>
        <w:rPr>
          <w:rFonts w:hint="eastAsia" w:ascii="宋体" w:hAnsi="宋体" w:cs="___WRD_EMBED_SUB_39"/>
          <w:szCs w:val="21"/>
        </w:rPr>
        <w:t>，也有</w:t>
      </w:r>
      <w:r>
        <w:rPr>
          <w:rFonts w:hint="eastAsia" w:ascii="宋体" w:hAnsi="宋体" w:cs="宋体"/>
          <w:szCs w:val="21"/>
        </w:rPr>
        <w:t>深刻</w:t>
      </w:r>
      <w:r>
        <w:rPr>
          <w:rFonts w:hint="eastAsia" w:ascii="宋体" w:hAnsi="宋体" w:cs="___WRD_EMBED_SUB_39"/>
          <w:szCs w:val="21"/>
        </w:rPr>
        <w:t>的理解和体会。项目采取</w:t>
      </w:r>
      <w:r>
        <w:rPr>
          <w:rFonts w:hint="eastAsia" w:ascii="宋体" w:hAnsi="宋体" w:cs="宋体"/>
          <w:szCs w:val="21"/>
        </w:rPr>
        <w:t>团队</w:t>
      </w:r>
      <w:r>
        <w:rPr>
          <w:rFonts w:hint="eastAsia" w:ascii="宋体" w:hAnsi="宋体" w:cs="___WRD_EMBED_SUB_39"/>
          <w:szCs w:val="21"/>
        </w:rPr>
        <w:t>合作形式进行组</w:t>
      </w:r>
      <w:r>
        <w:rPr>
          <w:rFonts w:hint="eastAsia" w:ascii="宋体" w:hAnsi="宋体" w:cs="宋体"/>
          <w:szCs w:val="21"/>
        </w:rPr>
        <w:t>织管</w:t>
      </w:r>
      <w:r>
        <w:rPr>
          <w:rFonts w:hint="eastAsia" w:ascii="宋体" w:hAnsi="宋体" w:cs="___WRD_EMBED_SUB_39"/>
          <w:szCs w:val="21"/>
        </w:rPr>
        <w:t>理。采取分工合作的方式，专业技术人员各自</w:t>
      </w:r>
      <w:r>
        <w:rPr>
          <w:rFonts w:hint="eastAsia" w:ascii="宋体" w:hAnsi="宋体" w:cs="宋体"/>
          <w:szCs w:val="21"/>
        </w:rPr>
        <w:t>负责</w:t>
      </w:r>
      <w:r>
        <w:rPr>
          <w:rFonts w:hint="eastAsia" w:ascii="宋体" w:hAnsi="宋体" w:cs="___WRD_EMBED_SUB_39"/>
          <w:szCs w:val="21"/>
        </w:rPr>
        <w:t>自</w:t>
      </w:r>
      <w:r>
        <w:rPr>
          <w:rFonts w:hint="eastAsia" w:ascii="宋体" w:hAnsi="宋体" w:cs="宋体"/>
          <w:szCs w:val="21"/>
        </w:rPr>
        <w:t>己</w:t>
      </w:r>
      <w:r>
        <w:rPr>
          <w:rFonts w:hint="eastAsia" w:ascii="宋体" w:hAnsi="宋体" w:cs="___WRD_EMBED_SUB_39"/>
          <w:szCs w:val="21"/>
        </w:rPr>
        <w:t>的技术问题，并</w:t>
      </w:r>
      <w:r>
        <w:rPr>
          <w:rFonts w:hint="eastAsia" w:ascii="宋体" w:hAnsi="宋体" w:cs="宋体"/>
          <w:szCs w:val="21"/>
        </w:rPr>
        <w:t>经常</w:t>
      </w:r>
      <w:r>
        <w:rPr>
          <w:rFonts w:hint="eastAsia" w:ascii="宋体" w:hAnsi="宋体" w:cs="___WRD_EMBED_SUB_39"/>
          <w:szCs w:val="21"/>
        </w:rPr>
        <w:t>进行技术交流</w:t>
      </w:r>
      <w:r>
        <w:rPr>
          <w:rFonts w:hint="eastAsia" w:ascii="宋体" w:hAnsi="宋体"/>
          <w:kern w:val="0"/>
        </w:rPr>
        <w:t>。</w:t>
      </w:r>
      <w:r>
        <w:rPr>
          <w:rFonts w:hint="eastAsia" w:ascii="宋体" w:hAnsi="宋体" w:cs="宋体"/>
          <w:kern w:val="0"/>
        </w:rPr>
        <w:t>详见</w:t>
      </w:r>
      <w:r>
        <w:rPr>
          <w:rFonts w:hint="eastAsia" w:ascii="宋体" w:hAnsi="宋体" w:cs="___WRD_EMBED_SUB_39"/>
          <w:kern w:val="0"/>
        </w:rPr>
        <w:t>附件部分。</w:t>
      </w:r>
    </w:p>
    <w:p>
      <w:pPr>
        <w:topLinePunct/>
        <w:spacing w:line="360" w:lineRule="auto"/>
        <w:ind w:firstLine="422" w:firstLineChars="200"/>
        <w:contextualSpacing/>
        <w:rPr>
          <w:rFonts w:ascii="宋体" w:hAnsi="宋体" w:eastAsia="宋体" w:cs="Times New Roman"/>
          <w:b/>
          <w:bCs/>
          <w:kern w:val="0"/>
          <w:szCs w:val="24"/>
        </w:rPr>
      </w:pPr>
      <w:r>
        <w:rPr>
          <w:rFonts w:hint="eastAsia" w:ascii="宋体" w:hAnsi="宋体" w:eastAsia="宋体" w:cs="Times New Roman"/>
          <w:b/>
          <w:bCs/>
          <w:kern w:val="0"/>
          <w:szCs w:val="24"/>
        </w:rPr>
        <w:t>（3）</w:t>
      </w:r>
      <w:r>
        <w:rPr>
          <w:rFonts w:ascii="宋体" w:hAnsi="宋体" w:eastAsia="宋体" w:cs="Times New Roman"/>
          <w:b/>
          <w:bCs/>
          <w:kern w:val="0"/>
          <w:szCs w:val="24"/>
        </w:rPr>
        <w:t>投标人拥有的专利</w:t>
      </w:r>
    </w:p>
    <w:p>
      <w:pPr>
        <w:topLinePunct/>
        <w:spacing w:line="360" w:lineRule="auto"/>
        <w:ind w:firstLine="420" w:firstLineChars="200"/>
        <w:contextualSpacing/>
        <w:rPr>
          <w:rFonts w:ascii="宋体" w:hAnsi="宋体" w:eastAsia="宋体" w:cs="Times New Roman"/>
          <w:kern w:val="0"/>
          <w:szCs w:val="24"/>
        </w:rPr>
      </w:pPr>
      <w:r>
        <w:rPr>
          <w:rFonts w:ascii="宋体" w:hAnsi="宋体" w:eastAsia="宋体" w:cs="Times New Roman"/>
          <w:kern w:val="0"/>
          <w:szCs w:val="24"/>
        </w:rPr>
        <w:t>投标团队发表相关发明专利多项，如“</w:t>
      </w:r>
      <w:r>
        <w:rPr>
          <w:rFonts w:hint="eastAsia" w:ascii="宋体" w:hAnsi="宋体" w:eastAsia="宋体" w:cs="Times New Roman"/>
          <w:kern w:val="0"/>
          <w:szCs w:val="24"/>
        </w:rPr>
        <w:t>一种基于改进聚类算法的电动汽车充电负荷特征提取方法</w:t>
      </w:r>
      <w:r>
        <w:rPr>
          <w:rFonts w:ascii="宋体" w:hAnsi="宋体" w:eastAsia="宋体" w:cs="Times New Roman"/>
          <w:kern w:val="0"/>
          <w:szCs w:val="24"/>
        </w:rPr>
        <w:t>”、“基于K-means聚类的配电网网架的构建方法”</w:t>
      </w:r>
      <w:r>
        <w:rPr>
          <w:rFonts w:hint="eastAsia" w:ascii="宋体" w:hAnsi="宋体" w:eastAsia="宋体" w:cs="Times New Roman"/>
          <w:kern w:val="0"/>
          <w:szCs w:val="24"/>
        </w:rPr>
        <w:t>、“基于大电网仿真系统下的自动电压控制系统闭环检测及评估方法”，“一种电力系统</w:t>
      </w:r>
      <w:r>
        <w:rPr>
          <w:rFonts w:hint="eastAsia" w:ascii="宋体" w:hAnsi="宋体" w:eastAsia="宋体" w:cs="宋体"/>
          <w:kern w:val="0"/>
          <w:szCs w:val="24"/>
        </w:rPr>
        <w:t>戴维南等值参数在线识别方法及其装置</w:t>
      </w:r>
      <w:r>
        <w:rPr>
          <w:rFonts w:hint="eastAsia" w:ascii="宋体" w:hAnsi="宋体" w:eastAsia="宋体" w:cs="Times New Roman"/>
          <w:kern w:val="0"/>
          <w:szCs w:val="24"/>
        </w:rPr>
        <w:t>”</w:t>
      </w:r>
      <w:r>
        <w:rPr>
          <w:rFonts w:ascii="宋体" w:hAnsi="宋体" w:eastAsia="宋体" w:cs="Times New Roman"/>
          <w:kern w:val="0"/>
          <w:szCs w:val="24"/>
        </w:rPr>
        <w:t>等。详见附件部分。</w:t>
      </w:r>
    </w:p>
    <w:p>
      <w:pPr>
        <w:topLinePunct/>
        <w:spacing w:line="360" w:lineRule="auto"/>
        <w:ind w:firstLine="422" w:firstLineChars="200"/>
        <w:contextualSpacing/>
        <w:rPr>
          <w:rFonts w:ascii="宋体" w:hAnsi="宋体" w:eastAsia="宋体" w:cs="Times New Roman"/>
          <w:b/>
          <w:bCs/>
          <w:kern w:val="0"/>
          <w:szCs w:val="24"/>
        </w:rPr>
      </w:pPr>
      <w:r>
        <w:rPr>
          <w:rFonts w:hint="eastAsia" w:ascii="宋体" w:hAnsi="宋体" w:eastAsia="宋体" w:cs="Times New Roman"/>
          <w:b/>
          <w:bCs/>
          <w:kern w:val="0"/>
          <w:szCs w:val="24"/>
        </w:rPr>
        <w:t>（4）</w:t>
      </w:r>
      <w:r>
        <w:rPr>
          <w:rFonts w:ascii="宋体" w:hAnsi="宋体" w:eastAsia="宋体" w:cs="Times New Roman"/>
          <w:b/>
          <w:bCs/>
          <w:kern w:val="0"/>
          <w:szCs w:val="24"/>
        </w:rPr>
        <w:t>相关文章</w:t>
      </w:r>
    </w:p>
    <w:p>
      <w:pPr>
        <w:topLinePunct/>
        <w:spacing w:line="360" w:lineRule="auto"/>
        <w:ind w:firstLine="420" w:firstLineChars="200"/>
        <w:contextualSpacing/>
        <w:rPr>
          <w:rFonts w:ascii="宋体" w:hAnsi="宋体" w:eastAsia="宋体" w:cs="Times New Roman"/>
          <w:kern w:val="0"/>
          <w:szCs w:val="24"/>
        </w:rPr>
      </w:pPr>
      <w:r>
        <w:rPr>
          <w:rFonts w:ascii="宋体" w:hAnsi="宋体" w:eastAsia="宋体" w:cs="Times New Roman"/>
          <w:kern w:val="0"/>
          <w:szCs w:val="24"/>
        </w:rPr>
        <w:t>投标团队发表文章数百篇，部分</w:t>
      </w:r>
      <w:r>
        <w:rPr>
          <w:rFonts w:ascii="宋体" w:hAnsi="宋体" w:eastAsia="宋体" w:cs="宋体"/>
          <w:kern w:val="0"/>
          <w:szCs w:val="24"/>
        </w:rPr>
        <w:t>详见附件</w:t>
      </w:r>
      <w:r>
        <w:rPr>
          <w:rFonts w:hint="eastAsia" w:ascii="宋体" w:hAnsi="宋体" w:eastAsia="宋体" w:cs="宋体"/>
          <w:kern w:val="0"/>
          <w:szCs w:val="24"/>
        </w:rPr>
        <w:t>。</w:t>
      </w:r>
      <w:r>
        <w:rPr>
          <w:rFonts w:ascii="宋体" w:hAnsi="宋体" w:eastAsia="宋体" w:cs="Times New Roman"/>
          <w:kern w:val="0"/>
          <w:szCs w:val="24"/>
        </w:rPr>
        <w:t xml:space="preserve"> </w:t>
      </w:r>
    </w:p>
    <w:p>
      <w:pPr>
        <w:topLinePunct/>
        <w:spacing w:line="360" w:lineRule="auto"/>
        <w:ind w:firstLine="421"/>
        <w:contextualSpacing/>
        <w:rPr>
          <w:rFonts w:ascii="宋体" w:hAnsi="宋体" w:eastAsia="宋体" w:cs="Times New Roman"/>
          <w:b/>
          <w:bCs/>
          <w:kern w:val="0"/>
          <w:szCs w:val="24"/>
        </w:rPr>
      </w:pPr>
      <w:r>
        <w:rPr>
          <w:rFonts w:hint="eastAsia" w:ascii="宋体" w:hAnsi="宋体" w:eastAsia="宋体" w:cs="Times New Roman"/>
          <w:b/>
          <w:bCs/>
          <w:kern w:val="0"/>
          <w:szCs w:val="24"/>
        </w:rPr>
        <w:t>相关证明材料如下：</w:t>
      </w:r>
    </w:p>
    <w:p>
      <w:pPr>
        <w:topLinePunct/>
        <w:spacing w:line="36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智能电网四川省重点实验室批复文件</w:t>
      </w:r>
    </w:p>
    <w:p>
      <w:pPr>
        <w:topLinePunct/>
        <w:spacing w:line="360" w:lineRule="auto"/>
        <w:contextualSpacing/>
        <w:rPr>
          <w:rFonts w:ascii="宋体" w:hAnsi="宋体" w:eastAsia="宋体" w:cs="Times New Roman"/>
          <w:szCs w:val="32"/>
        </w:rPr>
      </w:pPr>
      <w:r>
        <w:rPr>
          <w:rFonts w:ascii="宋体" w:hAnsi="宋体" w:eastAsia="宋体" w:cs="Times New Roman"/>
          <w:szCs w:val="32"/>
        </w:rPr>
        <w:drawing>
          <wp:inline distT="0" distB="0" distL="0" distR="0">
            <wp:extent cx="5283200" cy="7251700"/>
            <wp:effectExtent l="0" t="0" r="5080" b="2540"/>
            <wp:docPr id="7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83200" cy="7251700"/>
                    </a:xfrm>
                    <a:prstGeom prst="rect">
                      <a:avLst/>
                    </a:prstGeom>
                    <a:noFill/>
                    <a:ln>
                      <a:noFill/>
                    </a:ln>
                  </pic:spPr>
                </pic:pic>
              </a:graphicData>
            </a:graphic>
          </wp:inline>
        </w:drawing>
      </w:r>
    </w:p>
    <w:p>
      <w:pPr>
        <w:topLinePunct/>
        <w:spacing w:line="360" w:lineRule="auto"/>
        <w:contextualSpacing/>
        <w:rPr>
          <w:rFonts w:ascii="宋体" w:hAnsi="宋体" w:eastAsia="宋体" w:cs="Times New Roman"/>
          <w:szCs w:val="32"/>
        </w:rPr>
      </w:pPr>
      <w:r>
        <w:rPr>
          <w:rFonts w:ascii="宋体" w:hAnsi="宋体" w:eastAsia="宋体" w:cs="Times New Roman"/>
          <w:szCs w:val="32"/>
        </w:rPr>
        <w:drawing>
          <wp:inline distT="0" distB="0" distL="0" distR="0">
            <wp:extent cx="5283200" cy="7232650"/>
            <wp:effectExtent l="0" t="0" r="5080" b="6350"/>
            <wp:docPr id="7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83200" cy="7232650"/>
                    </a:xfrm>
                    <a:prstGeom prst="rect">
                      <a:avLst/>
                    </a:prstGeom>
                    <a:noFill/>
                    <a:ln>
                      <a:noFill/>
                    </a:ln>
                  </pic:spPr>
                </pic:pic>
              </a:graphicData>
            </a:graphic>
          </wp:inline>
        </w:drawing>
      </w:r>
    </w:p>
    <w:p>
      <w:pPr>
        <w:topLinePunct/>
        <w:spacing w:line="360" w:lineRule="auto"/>
        <w:contextualSpacing/>
        <w:rPr>
          <w:rFonts w:ascii="宋体" w:hAnsi="宋体" w:eastAsia="宋体" w:cs="Times New Roman"/>
          <w:szCs w:val="32"/>
        </w:rPr>
      </w:pPr>
    </w:p>
    <w:p>
      <w:pPr>
        <w:topLinePunct/>
        <w:spacing w:line="360" w:lineRule="auto"/>
        <w:contextualSpacing/>
        <w:rPr>
          <w:rFonts w:ascii="宋体" w:hAnsi="宋体" w:eastAsia="宋体" w:cs="Times New Roman"/>
          <w:szCs w:val="32"/>
        </w:rPr>
      </w:pPr>
    </w:p>
    <w:p>
      <w:pPr>
        <w:topLinePunct/>
        <w:spacing w:line="360" w:lineRule="auto"/>
        <w:contextualSpacing/>
        <w:rPr>
          <w:rFonts w:ascii="宋体" w:hAnsi="宋体" w:eastAsia="宋体" w:cs="Times New Roman"/>
          <w:szCs w:val="32"/>
        </w:rPr>
      </w:pPr>
    </w:p>
    <w:p>
      <w:pPr>
        <w:topLinePunct/>
        <w:spacing w:line="360" w:lineRule="auto"/>
        <w:contextualSpacing/>
        <w:rPr>
          <w:rFonts w:ascii="宋体" w:hAnsi="宋体" w:eastAsia="宋体" w:cs="Times New Roman"/>
          <w:szCs w:val="32"/>
        </w:rPr>
      </w:pPr>
    </w:p>
    <w:p>
      <w:pPr>
        <w:topLinePunct/>
        <w:spacing w:line="360" w:lineRule="auto"/>
        <w:contextualSpacing/>
        <w:rPr>
          <w:rFonts w:ascii="宋体" w:hAnsi="宋体" w:eastAsia="宋体" w:cs="Times New Roman"/>
          <w:szCs w:val="32"/>
        </w:rPr>
      </w:pPr>
    </w:p>
    <w:p>
      <w:pPr>
        <w:topLinePunct/>
        <w:spacing w:line="360" w:lineRule="auto"/>
        <w:contextualSpacing/>
        <w:rPr>
          <w:rFonts w:ascii="宋体" w:hAnsi="宋体" w:eastAsia="宋体" w:cs="Times New Roman"/>
          <w:kern w:val="0"/>
          <w:szCs w:val="32"/>
        </w:rPr>
      </w:pPr>
      <w:r>
        <w:rPr>
          <w:rFonts w:hint="eastAsia" w:ascii="宋体" w:hAnsi="宋体" w:eastAsia="宋体" w:cs="Times New Roman"/>
          <w:b/>
          <w:bCs/>
          <w:kern w:val="0"/>
          <w:szCs w:val="24"/>
        </w:rPr>
        <w:t>专利（部分）：</w:t>
      </w:r>
    </w:p>
    <w:p>
      <w:pPr>
        <w:topLinePunct/>
        <w:spacing w:line="360" w:lineRule="auto"/>
        <w:contextualSpacing/>
        <w:rPr>
          <w:rFonts w:ascii="宋体" w:hAnsi="宋体" w:eastAsia="宋体" w:cs="Times New Roman"/>
          <w:kern w:val="0"/>
          <w:szCs w:val="32"/>
        </w:rPr>
      </w:pPr>
    </w:p>
    <w:p>
      <w:pPr>
        <w:topLinePunct/>
        <w:spacing w:line="360" w:lineRule="auto"/>
        <w:contextualSpacing/>
        <w:rPr>
          <w:rFonts w:ascii="宋体" w:hAnsi="宋体" w:eastAsia="宋体" w:cs="Times New Roman"/>
          <w:kern w:val="0"/>
          <w:szCs w:val="32"/>
        </w:rPr>
      </w:pPr>
    </w:p>
    <w:p>
      <w:pPr>
        <w:topLinePunct/>
        <w:spacing w:line="360" w:lineRule="auto"/>
        <w:contextualSpacing/>
        <w:rPr>
          <w:rFonts w:ascii="宋体" w:hAnsi="宋体" w:eastAsia="宋体" w:cs="Times New Roman"/>
          <w:kern w:val="0"/>
          <w:szCs w:val="32"/>
        </w:rPr>
      </w:pPr>
    </w:p>
    <w:p>
      <w:pPr>
        <w:topLinePunct/>
        <w:spacing w:line="360" w:lineRule="auto"/>
        <w:contextualSpacing/>
        <w:rPr>
          <w:rFonts w:ascii="宋体" w:hAnsi="宋体" w:eastAsia="宋体" w:cs="Times New Roman"/>
          <w:kern w:val="0"/>
          <w:szCs w:val="32"/>
        </w:rPr>
      </w:pPr>
    </w:p>
    <w:p>
      <w:pPr>
        <w:topLinePunct/>
        <w:spacing w:line="360" w:lineRule="auto"/>
        <w:contextualSpacing/>
        <w:rPr>
          <w:rFonts w:ascii="宋体" w:hAnsi="宋体" w:eastAsia="宋体" w:cs="Times New Roman"/>
          <w:kern w:val="0"/>
          <w:szCs w:val="32"/>
        </w:rPr>
      </w:pPr>
    </w:p>
    <w:p>
      <w:pPr>
        <w:topLinePunct/>
        <w:spacing w:line="360" w:lineRule="auto"/>
        <w:contextualSpacing/>
        <w:rPr>
          <w:rFonts w:ascii="宋体" w:hAnsi="宋体" w:eastAsia="宋体" w:cs="Times New Roman"/>
          <w:kern w:val="0"/>
          <w:szCs w:val="32"/>
        </w:rPr>
      </w:pPr>
    </w:p>
    <w:p>
      <w:pPr>
        <w:topLinePunct/>
        <w:spacing w:line="360" w:lineRule="auto"/>
        <w:contextualSpacing/>
        <w:rPr>
          <w:rFonts w:ascii="宋体" w:hAnsi="宋体" w:eastAsia="宋体" w:cs="Times New Roman"/>
          <w:kern w:val="0"/>
          <w:szCs w:val="32"/>
        </w:rPr>
      </w:pPr>
    </w:p>
    <w:p>
      <w:pPr>
        <w:topLinePunct/>
        <w:spacing w:line="36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项目（部分）：</w:t>
      </w:r>
    </w:p>
    <w:tbl>
      <w:tblPr>
        <w:tblStyle w:val="14"/>
        <w:tblW w:w="8429" w:type="dxa"/>
        <w:tblInd w:w="93" w:type="dxa"/>
        <w:tblLayout w:type="fixed"/>
        <w:tblCellMar>
          <w:top w:w="0" w:type="dxa"/>
          <w:left w:w="108" w:type="dxa"/>
          <w:bottom w:w="0" w:type="dxa"/>
          <w:right w:w="108" w:type="dxa"/>
        </w:tblCellMar>
      </w:tblPr>
      <w:tblGrid>
        <w:gridCol w:w="2824"/>
        <w:gridCol w:w="2134"/>
        <w:gridCol w:w="1011"/>
        <w:gridCol w:w="1244"/>
        <w:gridCol w:w="1216"/>
      </w:tblGrid>
      <w:tr>
        <w:tblPrEx>
          <w:tblCellMar>
            <w:top w:w="0" w:type="dxa"/>
            <w:left w:w="108" w:type="dxa"/>
            <w:bottom w:w="0" w:type="dxa"/>
            <w:right w:w="108" w:type="dxa"/>
          </w:tblCellMar>
        </w:tblPrEx>
        <w:trPr>
          <w:trHeight w:val="48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项目名称</w:t>
            </w:r>
          </w:p>
        </w:tc>
        <w:tc>
          <w:tcPr>
            <w:tcW w:w="2134"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项目来源</w:t>
            </w:r>
          </w:p>
        </w:tc>
        <w:tc>
          <w:tcPr>
            <w:tcW w:w="1011"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总经费（万元）</w:t>
            </w:r>
          </w:p>
        </w:tc>
        <w:tc>
          <w:tcPr>
            <w:tcW w:w="1244"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开始日期</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结束日期</w:t>
            </w:r>
          </w:p>
        </w:tc>
      </w:tr>
      <w:tr>
        <w:tblPrEx>
          <w:tblCellMar>
            <w:top w:w="0" w:type="dxa"/>
            <w:left w:w="108" w:type="dxa"/>
            <w:bottom w:w="0" w:type="dxa"/>
            <w:right w:w="108" w:type="dxa"/>
          </w:tblCellMar>
        </w:tblPrEx>
        <w:trPr>
          <w:trHeight w:val="48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大规模新能源并网对四川电网安全稳定研究</w:t>
            </w:r>
          </w:p>
        </w:tc>
        <w:tc>
          <w:tcPr>
            <w:tcW w:w="2134"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国网四川省电力公司经济技术研究院</w:t>
            </w:r>
          </w:p>
        </w:tc>
        <w:tc>
          <w:tcPr>
            <w:tcW w:w="1011"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30万</w:t>
            </w:r>
          </w:p>
        </w:tc>
        <w:tc>
          <w:tcPr>
            <w:tcW w:w="124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2014.7</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2014.12</w:t>
            </w:r>
          </w:p>
        </w:tc>
      </w:tr>
      <w:tr>
        <w:tblPrEx>
          <w:tblCellMar>
            <w:top w:w="0" w:type="dxa"/>
            <w:left w:w="108" w:type="dxa"/>
            <w:bottom w:w="0" w:type="dxa"/>
            <w:right w:w="108" w:type="dxa"/>
          </w:tblCellMar>
        </w:tblPrEx>
        <w:trPr>
          <w:trHeight w:val="48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适应全球能源互联网的网源协调规划理论与方法研究</w:t>
            </w:r>
          </w:p>
        </w:tc>
        <w:tc>
          <w:tcPr>
            <w:tcW w:w="213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国网上海市电力公司</w:t>
            </w:r>
          </w:p>
        </w:tc>
        <w:tc>
          <w:tcPr>
            <w:tcW w:w="1011"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92万</w:t>
            </w:r>
          </w:p>
        </w:tc>
        <w:tc>
          <w:tcPr>
            <w:tcW w:w="124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2015.1</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2017.12</w:t>
            </w:r>
          </w:p>
        </w:tc>
      </w:tr>
      <w:tr>
        <w:tblPrEx>
          <w:tblCellMar>
            <w:top w:w="0" w:type="dxa"/>
            <w:left w:w="108" w:type="dxa"/>
            <w:bottom w:w="0" w:type="dxa"/>
            <w:right w:w="108" w:type="dxa"/>
          </w:tblCellMar>
        </w:tblPrEx>
        <w:trPr>
          <w:trHeight w:val="48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城市能源互联网基本形态与系统模式研究</w:t>
            </w:r>
          </w:p>
        </w:tc>
        <w:tc>
          <w:tcPr>
            <w:tcW w:w="213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国网四川省电力公司经济技术研究院</w:t>
            </w:r>
          </w:p>
        </w:tc>
        <w:tc>
          <w:tcPr>
            <w:tcW w:w="1011"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34万</w:t>
            </w:r>
          </w:p>
        </w:tc>
        <w:tc>
          <w:tcPr>
            <w:tcW w:w="124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2016.8</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2016.11</w:t>
            </w:r>
          </w:p>
        </w:tc>
      </w:tr>
      <w:tr>
        <w:tblPrEx>
          <w:tblCellMar>
            <w:top w:w="0" w:type="dxa"/>
            <w:left w:w="108" w:type="dxa"/>
            <w:bottom w:w="0" w:type="dxa"/>
            <w:right w:w="108" w:type="dxa"/>
          </w:tblCellMar>
        </w:tblPrEx>
        <w:trPr>
          <w:trHeight w:val="48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主动配电网关键技术研究及示范（福建）</w:t>
            </w:r>
          </w:p>
        </w:tc>
        <w:tc>
          <w:tcPr>
            <w:tcW w:w="213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国网福建省电力有限公司电力科学研究院</w:t>
            </w:r>
          </w:p>
        </w:tc>
        <w:tc>
          <w:tcPr>
            <w:tcW w:w="1011"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531万</w:t>
            </w:r>
          </w:p>
        </w:tc>
        <w:tc>
          <w:tcPr>
            <w:tcW w:w="124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2015.1</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2016.12</w:t>
            </w:r>
          </w:p>
        </w:tc>
      </w:tr>
      <w:tr>
        <w:tblPrEx>
          <w:tblCellMar>
            <w:top w:w="0" w:type="dxa"/>
            <w:left w:w="108" w:type="dxa"/>
            <w:bottom w:w="0" w:type="dxa"/>
            <w:right w:w="108" w:type="dxa"/>
          </w:tblCellMar>
        </w:tblPrEx>
        <w:trPr>
          <w:trHeight w:val="48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主动配电网关键技术研究及示范</w:t>
            </w:r>
          </w:p>
        </w:tc>
        <w:tc>
          <w:tcPr>
            <w:tcW w:w="2134"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863计划(国家高技术研究发展计划)_重点项目</w:t>
            </w:r>
          </w:p>
        </w:tc>
        <w:tc>
          <w:tcPr>
            <w:tcW w:w="1011"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73.77万</w:t>
            </w:r>
          </w:p>
        </w:tc>
        <w:tc>
          <w:tcPr>
            <w:tcW w:w="124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2014.2</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2017.2</w:t>
            </w:r>
          </w:p>
        </w:tc>
      </w:tr>
      <w:tr>
        <w:tblPrEx>
          <w:tblCellMar>
            <w:top w:w="0" w:type="dxa"/>
            <w:left w:w="108" w:type="dxa"/>
            <w:bottom w:w="0" w:type="dxa"/>
            <w:right w:w="108" w:type="dxa"/>
          </w:tblCellMar>
        </w:tblPrEx>
        <w:trPr>
          <w:trHeight w:val="48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全球能源互联网电力生产模拟关键技术研究及可视化平台研发</w:t>
            </w:r>
          </w:p>
        </w:tc>
        <w:tc>
          <w:tcPr>
            <w:tcW w:w="213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国网江苏省电力公司电力科学研究院</w:t>
            </w:r>
          </w:p>
        </w:tc>
        <w:tc>
          <w:tcPr>
            <w:tcW w:w="1011"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40万</w:t>
            </w:r>
          </w:p>
        </w:tc>
        <w:tc>
          <w:tcPr>
            <w:tcW w:w="1244" w:type="dxa"/>
            <w:tcBorders>
              <w:top w:val="single" w:color="000000" w:sz="4" w:space="0"/>
              <w:left w:val="nil"/>
              <w:bottom w:val="single" w:color="000000" w:sz="4" w:space="0"/>
              <w:right w:val="single" w:color="000000"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2016.1</w:t>
            </w:r>
          </w:p>
        </w:tc>
        <w:tc>
          <w:tcPr>
            <w:tcW w:w="1216" w:type="dxa"/>
            <w:tcBorders>
              <w:top w:val="single" w:color="000000" w:sz="4" w:space="0"/>
              <w:left w:val="nil"/>
              <w:bottom w:val="single" w:color="000000"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2017.12</w:t>
            </w:r>
          </w:p>
        </w:tc>
      </w:tr>
      <w:tr>
        <w:tblPrEx>
          <w:tblCellMar>
            <w:top w:w="0" w:type="dxa"/>
            <w:left w:w="108" w:type="dxa"/>
            <w:bottom w:w="0" w:type="dxa"/>
            <w:right w:w="108" w:type="dxa"/>
          </w:tblCellMar>
        </w:tblPrEx>
        <w:trPr>
          <w:trHeight w:val="784" w:hRule="atLeast"/>
        </w:trPr>
        <w:tc>
          <w:tcPr>
            <w:tcW w:w="2824" w:type="dxa"/>
            <w:tcBorders>
              <w:top w:val="nil"/>
              <w:left w:val="single" w:color="000000" w:sz="4" w:space="0"/>
              <w:bottom w:val="single" w:color="auto"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基于大数据的电力系统运行行为识别提取与表征</w:t>
            </w:r>
          </w:p>
        </w:tc>
        <w:tc>
          <w:tcPr>
            <w:tcW w:w="2134" w:type="dxa"/>
            <w:tcBorders>
              <w:top w:val="nil"/>
              <w:left w:val="nil"/>
              <w:bottom w:val="single" w:color="auto"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国家自然科学基金_重点项目</w:t>
            </w:r>
          </w:p>
        </w:tc>
        <w:tc>
          <w:tcPr>
            <w:tcW w:w="1011" w:type="dxa"/>
            <w:tcBorders>
              <w:top w:val="nil"/>
              <w:left w:val="nil"/>
              <w:bottom w:val="single" w:color="auto"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193万</w:t>
            </w:r>
          </w:p>
        </w:tc>
        <w:tc>
          <w:tcPr>
            <w:tcW w:w="1244" w:type="dxa"/>
            <w:tcBorders>
              <w:top w:val="nil"/>
              <w:left w:val="nil"/>
              <w:bottom w:val="single" w:color="auto"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2015.1</w:t>
            </w:r>
          </w:p>
        </w:tc>
        <w:tc>
          <w:tcPr>
            <w:tcW w:w="1216" w:type="dxa"/>
            <w:tcBorders>
              <w:top w:val="nil"/>
              <w:left w:val="nil"/>
              <w:bottom w:val="single" w:color="auto" w:sz="4" w:space="0"/>
              <w:right w:val="single" w:color="000000"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2019.12</w:t>
            </w:r>
          </w:p>
        </w:tc>
      </w:tr>
      <w:tr>
        <w:tblPrEx>
          <w:tblCellMar>
            <w:top w:w="0" w:type="dxa"/>
            <w:left w:w="108" w:type="dxa"/>
            <w:bottom w:w="0" w:type="dxa"/>
            <w:right w:w="108" w:type="dxa"/>
          </w:tblCellMar>
        </w:tblPrEx>
        <w:trPr>
          <w:trHeight w:val="480" w:hRule="atLeast"/>
        </w:trPr>
        <w:tc>
          <w:tcPr>
            <w:tcW w:w="2824" w:type="dxa"/>
            <w:tcBorders>
              <w:top w:val="single" w:color="auto" w:sz="4" w:space="0"/>
              <w:left w:val="single" w:color="auto" w:sz="4" w:space="0"/>
              <w:bottom w:val="single" w:color="auto" w:sz="4" w:space="0"/>
              <w:right w:val="single" w:color="auto"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lang w:eastAsia="ar-SA"/>
              </w:rPr>
              <w:t>应用于电网运行方式分析的深度强化学习技术研究</w:t>
            </w:r>
          </w:p>
        </w:tc>
        <w:tc>
          <w:tcPr>
            <w:tcW w:w="2134" w:type="dxa"/>
            <w:tcBorders>
              <w:top w:val="single" w:color="auto" w:sz="4" w:space="0"/>
              <w:left w:val="single" w:color="auto" w:sz="4" w:space="0"/>
              <w:bottom w:val="single" w:color="auto" w:sz="4" w:space="0"/>
              <w:right w:val="single" w:color="auto"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国网宁夏电力有限公司电力科学研究院</w:t>
            </w:r>
          </w:p>
        </w:tc>
        <w:tc>
          <w:tcPr>
            <w:tcW w:w="1011" w:type="dxa"/>
            <w:tcBorders>
              <w:top w:val="single" w:color="auto" w:sz="4" w:space="0"/>
              <w:left w:val="single" w:color="auto" w:sz="4" w:space="0"/>
              <w:bottom w:val="single" w:color="auto" w:sz="4" w:space="0"/>
              <w:right w:val="single" w:color="auto"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304万</w:t>
            </w:r>
          </w:p>
        </w:tc>
        <w:tc>
          <w:tcPr>
            <w:tcW w:w="1244" w:type="dxa"/>
            <w:tcBorders>
              <w:top w:val="single" w:color="auto" w:sz="4" w:space="0"/>
              <w:left w:val="single" w:color="auto" w:sz="4" w:space="0"/>
              <w:bottom w:val="single" w:color="auto" w:sz="4" w:space="0"/>
              <w:right w:val="single" w:color="auto" w:sz="4" w:space="0"/>
            </w:tcBorders>
            <w:shd w:val="clear" w:color="auto" w:fill="auto"/>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2019.4</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spacing w:line="240" w:lineRule="auto"/>
              <w:contextualSpacing/>
              <w:rPr>
                <w:rFonts w:ascii="宋体" w:hAnsi="宋体" w:eastAsia="宋体" w:cs="Times New Roman"/>
                <w:kern w:val="0"/>
                <w:szCs w:val="24"/>
              </w:rPr>
            </w:pPr>
            <w:r>
              <w:rPr>
                <w:rFonts w:hint="eastAsia" w:ascii="宋体" w:hAnsi="宋体" w:eastAsia="宋体" w:cs="Times New Roman"/>
                <w:kern w:val="0"/>
                <w:szCs w:val="24"/>
              </w:rPr>
              <w:t>2020.12</w:t>
            </w:r>
          </w:p>
        </w:tc>
      </w:tr>
    </w:tbl>
    <w:p>
      <w:pPr>
        <w:topLinePunct/>
        <w:spacing w:line="360" w:lineRule="auto"/>
        <w:contextualSpacing/>
        <w:rPr>
          <w:rFonts w:ascii="宋体" w:hAnsi="宋体" w:eastAsia="宋体" w:cs="Times New Roman"/>
          <w:b/>
          <w:bCs/>
          <w:kern w:val="0"/>
          <w:szCs w:val="24"/>
        </w:rPr>
      </w:pPr>
      <w:r>
        <w:rPr>
          <w:rFonts w:hint="eastAsia" w:ascii="宋体" w:hAnsi="宋体" w:eastAsia="宋体" w:cs="Times New Roman"/>
          <w:b/>
          <w:bCs/>
          <w:kern w:val="0"/>
          <w:szCs w:val="24"/>
        </w:rPr>
        <w:t>文章（部分）：</w:t>
      </w:r>
    </w:p>
    <w:p>
      <w:pPr>
        <w:pStyle w:val="12"/>
        <w:widowControl/>
        <w:numPr>
          <w:ilvl w:val="0"/>
          <w:numId w:val="5"/>
        </w:numPr>
        <w:topLinePunct/>
        <w:spacing w:beforeAutospacing="1" w:after="0" w:afterAutospacing="1" w:line="360" w:lineRule="auto"/>
        <w:contextualSpacing/>
        <w:rPr>
          <w:rFonts w:ascii="宋体" w:hAnsi="宋体" w:eastAsia="宋体" w:cs="Times New Roman"/>
          <w:kern w:val="0"/>
          <w:sz w:val="21"/>
          <w:szCs w:val="24"/>
        </w:rPr>
      </w:pPr>
      <w:r>
        <w:rPr>
          <w:rFonts w:ascii="宋体" w:hAnsi="宋体" w:eastAsia="宋体" w:cs="Times New Roman"/>
          <w:kern w:val="0"/>
          <w:sz w:val="21"/>
          <w:szCs w:val="24"/>
        </w:rPr>
        <w:t xml:space="preserve">Youbo Liu, Gao Qiu, Junyong Liu, et al. Ensemble Learning for Power Systems TTC Prediction With Wind Farms [J]. IEEE Access, 2019, 7: 16572-16583. (SCI) </w:t>
      </w:r>
    </w:p>
    <w:p>
      <w:pPr>
        <w:pStyle w:val="12"/>
        <w:widowControl/>
        <w:numPr>
          <w:ilvl w:val="0"/>
          <w:numId w:val="5"/>
        </w:numPr>
        <w:topLinePunct/>
        <w:spacing w:beforeAutospacing="1" w:after="0" w:afterAutospacing="1" w:line="360" w:lineRule="auto"/>
        <w:contextualSpacing/>
        <w:rPr>
          <w:rFonts w:ascii="宋体" w:hAnsi="宋体" w:eastAsia="宋体" w:cs="Times New Roman"/>
          <w:kern w:val="0"/>
          <w:sz w:val="21"/>
          <w:szCs w:val="24"/>
        </w:rPr>
      </w:pPr>
      <w:r>
        <w:rPr>
          <w:rFonts w:ascii="宋体" w:hAnsi="宋体" w:eastAsia="宋体" w:cs="Times New Roman"/>
          <w:kern w:val="0"/>
          <w:sz w:val="21"/>
          <w:szCs w:val="24"/>
        </w:rPr>
        <w:t xml:space="preserve">Youbo Liu, Yue Xiang, Shuai Hu, et al. Electric vehicles in smart grid: a survey on charging load modelling[J]. IEEE Transactions on Smart Grid, 2019, 2(1):26-33. (SCI) </w:t>
      </w:r>
    </w:p>
    <w:p>
      <w:pPr>
        <w:pStyle w:val="12"/>
        <w:widowControl/>
        <w:numPr>
          <w:ilvl w:val="0"/>
          <w:numId w:val="5"/>
        </w:numPr>
        <w:topLinePunct/>
        <w:spacing w:beforeAutospacing="1" w:after="0" w:afterAutospacing="1" w:line="360" w:lineRule="auto"/>
        <w:contextualSpacing/>
        <w:rPr>
          <w:rFonts w:ascii="宋体" w:hAnsi="宋体" w:eastAsia="宋体" w:cs="Times New Roman"/>
          <w:kern w:val="0"/>
          <w:sz w:val="21"/>
          <w:szCs w:val="24"/>
        </w:rPr>
      </w:pPr>
      <w:r>
        <w:rPr>
          <w:rFonts w:ascii="宋体" w:hAnsi="宋体" w:eastAsia="宋体" w:cs="Times New Roman"/>
          <w:kern w:val="0"/>
          <w:sz w:val="21"/>
          <w:szCs w:val="24"/>
        </w:rPr>
        <w:t xml:space="preserve">Youbo Liu , Junbo Zhao, Lixiong Xu, et al. Online TTC Estimation Using Nonparametric Analytics Considering Wind Power Integration[J]. IEEE Transactions on Smart Grid, 2019, 34(1):494-505. (SCI) </w:t>
      </w:r>
    </w:p>
    <w:p>
      <w:pPr>
        <w:pStyle w:val="12"/>
        <w:widowControl/>
        <w:numPr>
          <w:ilvl w:val="0"/>
          <w:numId w:val="5"/>
        </w:numPr>
        <w:topLinePunct/>
        <w:spacing w:beforeAutospacing="1" w:after="0" w:afterAutospacing="1" w:line="360" w:lineRule="auto"/>
        <w:contextualSpacing/>
        <w:rPr>
          <w:rFonts w:ascii="宋体" w:hAnsi="宋体" w:eastAsia="宋体" w:cs="Times New Roman"/>
          <w:kern w:val="0"/>
          <w:sz w:val="21"/>
          <w:szCs w:val="24"/>
        </w:rPr>
      </w:pPr>
      <w:r>
        <w:rPr>
          <w:rFonts w:ascii="宋体" w:hAnsi="宋体" w:eastAsia="宋体" w:cs="Times New Roman"/>
          <w:kern w:val="0"/>
          <w:sz w:val="21"/>
          <w:szCs w:val="24"/>
        </w:rPr>
        <w:t xml:space="preserve">王潇笛, 刘俊勇, 刘友波，等. 采用自适应分段聚合近似的典型负荷曲线形态聚类算法[J]. 电力系统自动化, 2019, 43(1):110-118.(EI) </w:t>
      </w:r>
    </w:p>
    <w:p>
      <w:pPr>
        <w:pStyle w:val="12"/>
        <w:widowControl/>
        <w:numPr>
          <w:ilvl w:val="0"/>
          <w:numId w:val="5"/>
        </w:numPr>
        <w:topLinePunct/>
        <w:spacing w:beforeAutospacing="1" w:after="0" w:afterAutospacing="1" w:line="360" w:lineRule="auto"/>
        <w:contextualSpacing/>
        <w:rPr>
          <w:rFonts w:ascii="宋体" w:hAnsi="宋体" w:eastAsia="宋体" w:cs="Times New Roman"/>
          <w:kern w:val="0"/>
          <w:sz w:val="21"/>
          <w:szCs w:val="24"/>
        </w:rPr>
      </w:pPr>
      <w:r>
        <w:rPr>
          <w:rFonts w:ascii="宋体" w:hAnsi="宋体" w:eastAsia="宋体" w:cs="Times New Roman"/>
          <w:kern w:val="0"/>
          <w:sz w:val="21"/>
          <w:szCs w:val="24"/>
        </w:rPr>
        <w:t>张程佳, 刘俊勇, 刘友波，等. 基于数据挖掘的电动汽车充电设施配置与两阶段充电优化调度[J]. 中国电机工程学报, 2018, 38(4):1054-1064. (EI)</w:t>
      </w:r>
    </w:p>
    <w:p>
      <w:pPr>
        <w:topLinePunct/>
        <w:spacing w:line="360" w:lineRule="auto"/>
        <w:contextualSpacing/>
        <w:rPr>
          <w:rFonts w:ascii="宋体" w:hAnsi="宋体" w:eastAsia="宋体" w:cs="Times New Roman"/>
          <w:b/>
          <w:bCs/>
          <w:kern w:val="0"/>
          <w:szCs w:val="24"/>
        </w:rPr>
      </w:pPr>
    </w:p>
    <w:p>
      <w:pPr>
        <w:topLinePunct/>
        <w:spacing w:line="360" w:lineRule="auto"/>
        <w:contextualSpacing/>
        <w:rPr>
          <w:rFonts w:ascii="宋体" w:hAnsi="宋体" w:eastAsia="宋体" w:cs="Times New Roman"/>
          <w:b/>
          <w:bCs/>
          <w:kern w:val="0"/>
          <w:szCs w:val="24"/>
        </w:rPr>
      </w:pPr>
    </w:p>
    <w:p>
      <w:pPr>
        <w:topLinePunct/>
        <w:spacing w:line="360" w:lineRule="auto"/>
        <w:contextualSpacing/>
        <w:rPr>
          <w:rFonts w:ascii="宋体" w:hAnsi="宋体" w:eastAsia="宋体" w:cs="Times New Roman"/>
          <w:b/>
          <w:bCs/>
          <w:kern w:val="0"/>
          <w:szCs w:val="24"/>
        </w:rPr>
      </w:pP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10" w:name="_Toc14250001"/>
      <w:r>
        <w:rPr>
          <w:rFonts w:hint="eastAsia" w:ascii="宋体" w:hAnsi="宋体" w:eastAsia="宋体" w:cstheme="majorBidi"/>
          <w:b/>
          <w:bCs/>
          <w:sz w:val="24"/>
          <w:szCs w:val="32"/>
        </w:rPr>
        <w:t>项目实施组织形式和管理措施。</w:t>
      </w:r>
      <w:bookmarkEnd w:id="10"/>
    </w:p>
    <w:p>
      <w:pPr>
        <w:pStyle w:val="31"/>
        <w:spacing w:line="360" w:lineRule="auto"/>
        <w:ind w:firstLine="420"/>
        <w:contextualSpacing/>
        <w:rPr>
          <w:rFonts w:ascii="宋体" w:hAnsi="宋体"/>
          <w:szCs w:val="21"/>
        </w:rPr>
      </w:pPr>
      <w:r>
        <w:rPr>
          <w:rFonts w:hint="eastAsia" w:ascii="宋体" w:hAnsi="宋体"/>
          <w:szCs w:val="21"/>
        </w:rPr>
        <w:t>投标人所在团队在项目实施过程中，设置课题研究团队、软件开发团队及项目管理团队。课题研究团队主要包括：</w:t>
      </w:r>
    </w:p>
    <w:p>
      <w:pPr>
        <w:pStyle w:val="31"/>
        <w:spacing w:line="360" w:lineRule="auto"/>
        <w:ind w:firstLine="420"/>
        <w:contextualSpacing/>
        <w:rPr>
          <w:rFonts w:ascii="宋体" w:hAnsi="宋体"/>
          <w:szCs w:val="21"/>
        </w:rPr>
      </w:pPr>
      <w:r>
        <w:rPr>
          <w:rFonts w:hint="eastAsia" w:ascii="宋体" w:hAnsi="宋体"/>
          <w:szCs w:val="21"/>
        </w:rPr>
        <w:t>高压开关柜触头温度、局放、机械特性、红外成像等状态监测参数传感器研究团队：主要负责触头温度、局放、机械特性以及红外成像等状态监测传感器的改进以及技术升级；</w:t>
      </w:r>
    </w:p>
    <w:p>
      <w:pPr>
        <w:pStyle w:val="31"/>
        <w:spacing w:line="360" w:lineRule="auto"/>
        <w:ind w:firstLine="420"/>
        <w:contextualSpacing/>
        <w:rPr>
          <w:rFonts w:ascii="宋体" w:hAnsi="宋体"/>
          <w:szCs w:val="21"/>
        </w:rPr>
      </w:pPr>
      <w:r>
        <w:rPr>
          <w:rFonts w:hint="eastAsia" w:ascii="宋体" w:hAnsi="宋体"/>
          <w:szCs w:val="21"/>
        </w:rPr>
        <w:t>高压开关柜状态监测系统的通信方式研究团队：主要负责完成对变电站内高压开关柜状态监测系统的通信方式改进和技术升级；</w:t>
      </w:r>
    </w:p>
    <w:p>
      <w:pPr>
        <w:pStyle w:val="31"/>
        <w:spacing w:line="360" w:lineRule="auto"/>
        <w:ind w:firstLine="420"/>
        <w:contextualSpacing/>
        <w:rPr>
          <w:rFonts w:ascii="宋体" w:hAnsi="宋体"/>
          <w:szCs w:val="21"/>
        </w:rPr>
      </w:pPr>
      <w:r>
        <w:rPr>
          <w:rFonts w:hint="eastAsia" w:ascii="宋体" w:hAnsi="宋体"/>
          <w:szCs w:val="21"/>
        </w:rPr>
        <w:t>大容量、高可靠的状态数据存储与安全隔离单元研究团队：主要负责完成大容量、高可靠的状态数据存储与安全隔离单元研制，并提交数据存储与安全隔离终端单元的安装和施工方案。</w:t>
      </w:r>
    </w:p>
    <w:p>
      <w:pPr>
        <w:pStyle w:val="31"/>
        <w:spacing w:line="360" w:lineRule="auto"/>
        <w:ind w:firstLine="420"/>
        <w:contextualSpacing/>
        <w:rPr>
          <w:rFonts w:ascii="宋体" w:hAnsi="宋体"/>
          <w:szCs w:val="21"/>
        </w:rPr>
      </w:pPr>
      <w:r>
        <w:rPr>
          <w:rFonts w:hint="eastAsia" w:ascii="宋体" w:hAnsi="宋体"/>
          <w:szCs w:val="21"/>
        </w:rPr>
        <w:t>新型开关柜弧光保护技术筒体方案设计研究团队：主要完成高压开关柜新型弧光保护技术筒体方案设计及其硬件装置研制；</w:t>
      </w:r>
    </w:p>
    <w:p>
      <w:pPr>
        <w:pStyle w:val="31"/>
        <w:spacing w:line="360" w:lineRule="auto"/>
        <w:ind w:firstLine="420"/>
        <w:contextualSpacing/>
        <w:rPr>
          <w:rFonts w:ascii="宋体" w:hAnsi="宋体"/>
          <w:szCs w:val="21"/>
        </w:rPr>
      </w:pPr>
      <w:r>
        <w:rPr>
          <w:rFonts w:hint="eastAsia" w:ascii="宋体" w:hAnsi="宋体"/>
          <w:szCs w:val="21"/>
        </w:rPr>
        <w:t>软件开发团队主要包括：</w:t>
      </w:r>
    </w:p>
    <w:p>
      <w:pPr>
        <w:pStyle w:val="31"/>
        <w:spacing w:line="360" w:lineRule="auto"/>
        <w:ind w:firstLine="420"/>
        <w:contextualSpacing/>
        <w:rPr>
          <w:rFonts w:ascii="宋体" w:hAnsi="宋体"/>
          <w:szCs w:val="21"/>
        </w:rPr>
      </w:pPr>
      <w:r>
        <w:rPr>
          <w:rFonts w:hint="eastAsia" w:ascii="宋体" w:hAnsi="宋体"/>
          <w:szCs w:val="21"/>
        </w:rPr>
        <w:t>技术分析团队：针对项目所涉及领域，进行主要技术需求分析及功能设计，制定项目实施的概要设计和详细设计，指定项目技术基础，提供强大的技术背景分析和应用实施能力；</w:t>
      </w:r>
    </w:p>
    <w:p>
      <w:pPr>
        <w:pStyle w:val="31"/>
        <w:spacing w:line="360" w:lineRule="auto"/>
        <w:ind w:firstLine="420"/>
        <w:contextualSpacing/>
        <w:rPr>
          <w:rFonts w:ascii="宋体" w:hAnsi="宋体"/>
          <w:szCs w:val="21"/>
        </w:rPr>
      </w:pPr>
      <w:r>
        <w:rPr>
          <w:rFonts w:hint="eastAsia" w:ascii="宋体" w:hAnsi="宋体"/>
          <w:szCs w:val="21"/>
        </w:rPr>
        <w:t>系统用户界面设计团队：主要负责系统界面的人性化设计、配色及计算机实现，通过二维、三维、动画、特效、可视化控件等多种手段，提供基于B/S模式的系统最终用户可视化界面；</w:t>
      </w:r>
    </w:p>
    <w:p>
      <w:pPr>
        <w:pStyle w:val="31"/>
        <w:spacing w:line="360" w:lineRule="auto"/>
        <w:ind w:firstLine="420"/>
        <w:contextualSpacing/>
        <w:rPr>
          <w:rFonts w:ascii="宋体" w:hAnsi="宋体"/>
          <w:szCs w:val="21"/>
        </w:rPr>
      </w:pPr>
      <w:r>
        <w:rPr>
          <w:rFonts w:hint="eastAsia" w:ascii="宋体" w:hAnsi="宋体"/>
          <w:szCs w:val="21"/>
        </w:rPr>
        <w:t>数据处理团队：主要负责数据收集整理、数据结构设计、数据入库出库、数据处理及接口研发等。</w:t>
      </w:r>
    </w:p>
    <w:p>
      <w:pPr>
        <w:pStyle w:val="31"/>
        <w:spacing w:line="360" w:lineRule="auto"/>
        <w:ind w:firstLine="420"/>
        <w:contextualSpacing/>
        <w:rPr>
          <w:rFonts w:ascii="宋体" w:hAnsi="宋体"/>
          <w:szCs w:val="21"/>
        </w:rPr>
      </w:pPr>
      <w:r>
        <w:rPr>
          <w:rFonts w:hint="eastAsia" w:ascii="宋体" w:hAnsi="宋体"/>
          <w:szCs w:val="21"/>
        </w:rPr>
        <w:t>管理团队主要包括：</w:t>
      </w:r>
    </w:p>
    <w:p>
      <w:pPr>
        <w:pStyle w:val="31"/>
        <w:spacing w:line="360" w:lineRule="auto"/>
        <w:ind w:firstLine="420"/>
        <w:contextualSpacing/>
        <w:rPr>
          <w:rFonts w:ascii="宋体" w:hAnsi="宋体"/>
          <w:szCs w:val="21"/>
        </w:rPr>
      </w:pPr>
      <w:r>
        <w:rPr>
          <w:rFonts w:hint="eastAsia" w:ascii="宋体" w:hAnsi="宋体"/>
          <w:szCs w:val="21"/>
        </w:rPr>
        <w:t>1）项目指导委员会：提供项目的自顶向下指导模式，进行项目的宏观方向指导；</w:t>
      </w:r>
    </w:p>
    <w:p>
      <w:pPr>
        <w:pStyle w:val="31"/>
        <w:spacing w:line="360" w:lineRule="auto"/>
        <w:ind w:firstLine="420"/>
        <w:contextualSpacing/>
        <w:rPr>
          <w:rFonts w:ascii="宋体" w:hAnsi="宋体"/>
          <w:szCs w:val="21"/>
        </w:rPr>
      </w:pPr>
      <w:r>
        <w:rPr>
          <w:rFonts w:hint="eastAsia" w:ascii="宋体" w:hAnsi="宋体"/>
          <w:szCs w:val="21"/>
        </w:rPr>
        <w:t>2）内部项目实施核查小组：定期对项目实施进度进行督查。严格保证项目时间节点和功能质量；</w:t>
      </w:r>
    </w:p>
    <w:p>
      <w:pPr>
        <w:pStyle w:val="31"/>
        <w:spacing w:line="360" w:lineRule="auto"/>
        <w:ind w:firstLine="420"/>
        <w:contextualSpacing/>
        <w:rPr>
          <w:rFonts w:ascii="宋体" w:hAnsi="宋体"/>
          <w:szCs w:val="21"/>
        </w:rPr>
      </w:pPr>
      <w:r>
        <w:rPr>
          <w:rFonts w:hint="eastAsia" w:ascii="宋体" w:hAnsi="宋体"/>
          <w:szCs w:val="21"/>
        </w:rPr>
        <w:t>3）文档管理小组：负责系统使用说明、工作报告、工作日志等文档性工作，结合项目实施进度，阶段性保障相关文字性工作的准确无误进行。</w:t>
      </w:r>
    </w:p>
    <w:p>
      <w:pPr>
        <w:topLinePunct/>
        <w:spacing w:line="360" w:lineRule="auto"/>
        <w:contextualSpacing/>
        <w:rPr>
          <w:rFonts w:ascii="宋体" w:hAnsi="宋体" w:eastAsia="宋体" w:cs="Times New Roman"/>
          <w:kern w:val="0"/>
          <w:szCs w:val="24"/>
        </w:rPr>
      </w:pP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11" w:name="_Toc14250002"/>
      <w:r>
        <w:rPr>
          <w:rFonts w:hint="eastAsia" w:ascii="宋体" w:hAnsi="宋体" w:eastAsia="宋体" w:cstheme="majorBidi"/>
          <w:b/>
          <w:bCs/>
          <w:sz w:val="24"/>
          <w:szCs w:val="32"/>
        </w:rPr>
        <w:t>投标人的硬件、软件实力。</w:t>
      </w:r>
      <w:bookmarkEnd w:id="11"/>
    </w:p>
    <w:p>
      <w:pPr>
        <w:pStyle w:val="31"/>
        <w:spacing w:line="360" w:lineRule="auto"/>
        <w:ind w:firstLine="420"/>
        <w:contextualSpacing/>
        <w:rPr>
          <w:rFonts w:ascii="宋体" w:hAnsi="宋体"/>
          <w:szCs w:val="21"/>
        </w:rPr>
      </w:pPr>
      <w:r>
        <w:rPr>
          <w:rFonts w:hint="eastAsia" w:ascii="宋体" w:hAnsi="宋体"/>
          <w:szCs w:val="21"/>
        </w:rPr>
        <w:t>投标人所在单位为985、211大学，建校百余年，拥有三十余学院，各岗位教职工过万人。投标人所在实验室，有用省级智能电网实验室、动模实验室，具有充足的地理、可视化、数据处理等相关系统研究能力。同时，投标人所在团队拥有各式服务器、工作站、计算机一百余台，拥有强大的电力系统软件开发仿真环境与真实物理环境，具有多种应用开发环境、功能模块储备和算法储备，能够在电力系统运行控制、电力数据采集、信息系统数据采集、信息技术研发、数据应用、可视化展示等多个领域进行高效、稳定、成熟的研发。同时，本团队有多项自主技术，包含内存库、图元组件、数据绑定技术、协议解析技术等多方面技术储备。团队主要技术成员20余人，学科背景覆盖有电力系统、计算机、通信等多个领域，具有极强的交叉学科科研能力。团队负责人具有教授职称博士研究生导师头衔，享受国家政府特殊津贴，作为项目带头人承担有国家863项目、国家自然基金重点项目、国家自然基金面上项目、国网总部科技项目、包括国网北京市电力公司、国网上海市电力公司、国网四川省电力公司、国网山西省电力公司、国网新疆电力公司以及各地市供电公司等数百项横纵向项目。团队其他人员具有高级职称者5人，中级职称者5人，在各自领域具有丰富的研究经验，同时团队还具有专职研发人员多人，具有优秀的系统实现能力。在团队既往业绩中，获得过省部级奖项多项。</w:t>
      </w:r>
    </w:p>
    <w:p>
      <w:pPr>
        <w:topLinePunct/>
        <w:spacing w:line="360" w:lineRule="auto"/>
        <w:ind w:firstLine="420"/>
        <w:contextualSpacing/>
        <w:rPr>
          <w:rFonts w:ascii="宋体" w:hAnsi="宋体" w:eastAsia="宋体" w:cs="Times New Roman"/>
          <w:b/>
          <w:bCs/>
          <w:kern w:val="0"/>
          <w:szCs w:val="24"/>
        </w:rPr>
      </w:pPr>
      <w:r>
        <w:rPr>
          <w:rFonts w:hint="eastAsia" w:ascii="宋体" w:hAnsi="宋体" w:eastAsia="宋体" w:cs="Times New Roman"/>
          <w:b/>
          <w:bCs/>
          <w:kern w:val="0"/>
          <w:szCs w:val="24"/>
        </w:rPr>
        <w:t>投标人所具有的人员基础、技术基础等，为本项目实施提供了良好的保障，可以保证本项目的顺利实施。</w:t>
      </w:r>
    </w:p>
    <w:p>
      <w:pPr>
        <w:topLinePunct/>
        <w:spacing w:line="360" w:lineRule="auto"/>
        <w:ind w:firstLine="421"/>
        <w:contextualSpacing/>
        <w:rPr>
          <w:rFonts w:ascii="宋体" w:hAnsi="宋体" w:eastAsia="宋体" w:cs="Times New Roman"/>
          <w:b/>
          <w:bCs/>
          <w:kern w:val="0"/>
          <w:szCs w:val="24"/>
        </w:rPr>
      </w:pPr>
      <w:r>
        <w:rPr>
          <w:rFonts w:hint="eastAsia" w:ascii="宋体" w:hAnsi="宋体" w:eastAsia="宋体" w:cs="Times New Roman"/>
          <w:b/>
          <w:bCs/>
          <w:kern w:val="0"/>
          <w:szCs w:val="24"/>
        </w:rPr>
        <w:t>相关证明材料如下：</w:t>
      </w:r>
    </w:p>
    <w:p>
      <w:pPr>
        <w:rPr>
          <w:rFonts w:ascii="宋体" w:hAnsi="宋体" w:eastAsia="宋体"/>
        </w:rPr>
      </w:pPr>
      <w:r>
        <w:rPr>
          <w:rFonts w:ascii="宋体" w:hAnsi="宋体" w:eastAsia="宋体" w:cs="Times New Roman"/>
          <w:b/>
          <w:bCs/>
          <w:kern w:val="0"/>
          <w:szCs w:val="24"/>
        </w:rPr>
        <w:t>智能电网四川省重点实验室批复文件</w:t>
      </w: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12" w:name="_Toc14250003"/>
      <w:r>
        <w:rPr>
          <w:rFonts w:hint="eastAsia" w:ascii="宋体" w:hAnsi="宋体" w:eastAsia="宋体" w:cstheme="majorBidi"/>
          <w:b/>
          <w:bCs/>
          <w:sz w:val="24"/>
          <w:szCs w:val="32"/>
        </w:rPr>
        <w:t>项目质量保障体系及措施。</w:t>
      </w:r>
      <w:bookmarkEnd w:id="12"/>
    </w:p>
    <w:p>
      <w:pPr>
        <w:pStyle w:val="31"/>
        <w:spacing w:line="360" w:lineRule="auto"/>
        <w:ind w:firstLine="420"/>
        <w:contextualSpacing/>
        <w:rPr>
          <w:rFonts w:ascii="宋体" w:hAnsi="宋体"/>
          <w:szCs w:val="21"/>
        </w:rPr>
      </w:pPr>
      <w:r>
        <w:rPr>
          <w:rFonts w:hint="eastAsia" w:ascii="宋体" w:hAnsi="宋体"/>
          <w:szCs w:val="21"/>
        </w:rPr>
        <w:t>投标人为教育部直属的985、211大学，为事业单位故无ISO9000认证。但项目实施团队具有智能电网重点实验室、动模实验室、专职研发团队等优秀条件。团队拥有教授、副教授、博士、硕士、博士研究生、硕士研究生近百名。团队承担有国家级、省部级、国网总部以及各省级及地市级电力公司等多个横纵向项目。</w:t>
      </w:r>
    </w:p>
    <w:p>
      <w:pPr>
        <w:pStyle w:val="31"/>
        <w:spacing w:line="360" w:lineRule="auto"/>
        <w:ind w:firstLine="420"/>
        <w:contextualSpacing/>
        <w:rPr>
          <w:rFonts w:ascii="宋体" w:hAnsi="宋体"/>
          <w:szCs w:val="21"/>
        </w:rPr>
      </w:pPr>
      <w:r>
        <w:rPr>
          <w:rFonts w:hint="eastAsia" w:ascii="宋体" w:hAnsi="宋体"/>
          <w:szCs w:val="21"/>
        </w:rPr>
        <w:t>为保证的项目实施质量，我方在项目实施中，从以下几个方面进行项目质量控制：</w:t>
      </w:r>
    </w:p>
    <w:p>
      <w:pPr>
        <w:pStyle w:val="31"/>
        <w:spacing w:line="360" w:lineRule="auto"/>
        <w:ind w:firstLine="420"/>
        <w:contextualSpacing/>
        <w:rPr>
          <w:rFonts w:ascii="宋体" w:hAnsi="宋体"/>
          <w:szCs w:val="21"/>
        </w:rPr>
      </w:pPr>
      <w:r>
        <w:rPr>
          <w:rFonts w:hint="eastAsia" w:ascii="宋体" w:hAnsi="宋体"/>
          <w:szCs w:val="21"/>
        </w:rPr>
        <w:t>1）项目指导委员会</w:t>
      </w:r>
    </w:p>
    <w:p>
      <w:pPr>
        <w:pStyle w:val="31"/>
        <w:spacing w:line="360" w:lineRule="auto"/>
        <w:ind w:firstLine="420"/>
        <w:contextualSpacing/>
        <w:rPr>
          <w:rFonts w:ascii="宋体" w:hAnsi="宋体"/>
          <w:szCs w:val="21"/>
        </w:rPr>
      </w:pPr>
      <w:r>
        <w:rPr>
          <w:rFonts w:hint="eastAsia" w:ascii="宋体" w:hAnsi="宋体"/>
          <w:szCs w:val="21"/>
        </w:rPr>
        <w:t>组织机构中的项目指导委员会，其成员有相关的领导组成，从项目实施的战略上，进行项目计划和实施过程的监督和指导，并解决项目实施中的资金、协调、决策等关键问题。</w:t>
      </w:r>
    </w:p>
    <w:p>
      <w:pPr>
        <w:pStyle w:val="31"/>
        <w:spacing w:line="360" w:lineRule="auto"/>
        <w:ind w:firstLine="420"/>
        <w:contextualSpacing/>
        <w:rPr>
          <w:rFonts w:ascii="宋体" w:hAnsi="宋体"/>
          <w:szCs w:val="21"/>
        </w:rPr>
      </w:pPr>
      <w:r>
        <w:rPr>
          <w:rFonts w:hint="eastAsia" w:ascii="宋体" w:hAnsi="宋体"/>
          <w:szCs w:val="21"/>
        </w:rPr>
        <w:t>2）项目实施核查小组</w:t>
      </w:r>
    </w:p>
    <w:p>
      <w:pPr>
        <w:pStyle w:val="31"/>
        <w:spacing w:line="360" w:lineRule="auto"/>
        <w:ind w:firstLine="420"/>
        <w:contextualSpacing/>
        <w:rPr>
          <w:rFonts w:ascii="宋体" w:hAnsi="宋体"/>
          <w:szCs w:val="21"/>
        </w:rPr>
      </w:pPr>
      <w:r>
        <w:rPr>
          <w:rFonts w:hint="eastAsia" w:ascii="宋体" w:hAnsi="宋体"/>
          <w:szCs w:val="21"/>
        </w:rPr>
        <w:t>我方项目组和客户，在项目实施中，将临时组成项目核查小组，以项目计划和阶段任务及任务目标为依据，进行项目的每一阶段检查，并将检查结果进行分析和反馈，及时进行项目实施调整，保证阶段实施质量。</w:t>
      </w:r>
    </w:p>
    <w:p>
      <w:pPr>
        <w:pStyle w:val="31"/>
        <w:spacing w:line="360" w:lineRule="auto"/>
        <w:ind w:firstLine="420"/>
        <w:contextualSpacing/>
        <w:rPr>
          <w:rFonts w:ascii="宋体" w:hAnsi="宋体"/>
          <w:szCs w:val="21"/>
        </w:rPr>
      </w:pPr>
      <w:r>
        <w:rPr>
          <w:rFonts w:hint="eastAsia" w:ascii="宋体" w:hAnsi="宋体"/>
          <w:szCs w:val="21"/>
        </w:rPr>
        <w:t>3）文档管理小组</w:t>
      </w:r>
    </w:p>
    <w:p>
      <w:pPr>
        <w:pStyle w:val="31"/>
        <w:spacing w:line="360" w:lineRule="auto"/>
        <w:ind w:firstLine="420"/>
        <w:contextualSpacing/>
        <w:rPr>
          <w:rFonts w:ascii="宋体" w:hAnsi="宋体"/>
          <w:szCs w:val="21"/>
        </w:rPr>
      </w:pPr>
      <w:r>
        <w:rPr>
          <w:rFonts w:hint="eastAsia" w:ascii="宋体" w:hAnsi="宋体"/>
          <w:szCs w:val="21"/>
        </w:rPr>
        <w:t>在项目实施过程中，项目组将挑选项目组的部分成员成立项目文档管理小组，将项目实施中的各种纸档及相关的设计文档进行全面的管理，并进入系统中，供多方人员查阅和参考，保证各方人员多项目的认识和项目阶段目标的准确定位，保证项目按客观规律实施。</w:t>
      </w:r>
    </w:p>
    <w:p>
      <w:pPr>
        <w:pStyle w:val="31"/>
        <w:spacing w:line="360" w:lineRule="auto"/>
        <w:ind w:firstLine="420"/>
        <w:contextualSpacing/>
        <w:rPr>
          <w:rFonts w:ascii="宋体" w:hAnsi="宋体"/>
          <w:szCs w:val="21"/>
        </w:rPr>
      </w:pPr>
      <w:r>
        <w:rPr>
          <w:rFonts w:hint="eastAsia" w:ascii="宋体" w:hAnsi="宋体"/>
          <w:szCs w:val="21"/>
        </w:rPr>
        <w:t>在投标人既往业绩中，承担由国家863项目、国家自然基金重点项目、国家自然基金面上项目、国网总部科技项目、包括国网北京市电力公司、国网上海市电力公司、国网四川省电力公司、国网山西省电力公司、国网新疆电力公司以及各地市供电公司等多项横纵向项目。在项目的研发、实施、部署维护过程中，未有任何违反合同或通报批评的情况存在，在各地市具有良好的项目研发声誉，所研发系统已经被多项项目征募具有强大的安全稳定运行能力。</w:t>
      </w:r>
    </w:p>
    <w:p>
      <w:pPr>
        <w:pStyle w:val="31"/>
        <w:spacing w:line="360" w:lineRule="auto"/>
        <w:ind w:firstLine="420"/>
        <w:contextualSpacing/>
        <w:rPr>
          <w:rFonts w:ascii="宋体" w:hAnsi="宋体"/>
          <w:szCs w:val="21"/>
        </w:rPr>
      </w:pPr>
      <w:r>
        <w:rPr>
          <w:rFonts w:hint="eastAsia" w:ascii="宋体" w:hAnsi="宋体"/>
          <w:szCs w:val="21"/>
        </w:rPr>
        <w:t>投标人在系统部署后，提供以下系统质量保障承诺：</w:t>
      </w:r>
    </w:p>
    <w:p>
      <w:pPr>
        <w:pStyle w:val="31"/>
        <w:spacing w:line="360" w:lineRule="auto"/>
        <w:ind w:firstLine="420"/>
        <w:contextualSpacing/>
        <w:rPr>
          <w:rFonts w:ascii="宋体" w:hAnsi="宋体"/>
          <w:szCs w:val="21"/>
        </w:rPr>
      </w:pPr>
      <w:r>
        <w:rPr>
          <w:rFonts w:hint="eastAsia" w:ascii="宋体" w:hAnsi="宋体"/>
          <w:szCs w:val="21"/>
        </w:rPr>
        <w:t>（1）系统提供一年质保。在系统部署运行一年内，系统如需升级、维护，由投标人所在团队提供相应技术支持，保障系统在实际生产环境中的安全稳定运行。</w:t>
      </w:r>
    </w:p>
    <w:p>
      <w:pPr>
        <w:pStyle w:val="31"/>
        <w:spacing w:line="360" w:lineRule="auto"/>
        <w:ind w:firstLine="420"/>
        <w:contextualSpacing/>
        <w:rPr>
          <w:rFonts w:ascii="宋体" w:hAnsi="宋体"/>
          <w:szCs w:val="21"/>
        </w:rPr>
      </w:pPr>
      <w:r>
        <w:rPr>
          <w:rFonts w:hint="eastAsia" w:ascii="宋体" w:hAnsi="宋体"/>
          <w:szCs w:val="21"/>
        </w:rPr>
        <w:t>（2）如系统所涉及的硬件（系统所在服务器）出现设备故障，按相应设备质保服务期限对故障设备进行更换或维修。</w:t>
      </w:r>
    </w:p>
    <w:p>
      <w:pPr>
        <w:pStyle w:val="31"/>
        <w:spacing w:line="360" w:lineRule="auto"/>
        <w:ind w:firstLine="420"/>
        <w:contextualSpacing/>
        <w:rPr>
          <w:rFonts w:ascii="宋体" w:hAnsi="宋体"/>
          <w:szCs w:val="21"/>
        </w:rPr>
      </w:pPr>
      <w:r>
        <w:rPr>
          <w:rFonts w:hint="eastAsia" w:ascii="宋体" w:hAnsi="宋体"/>
          <w:szCs w:val="21"/>
        </w:rPr>
        <w:t>（3）在质保期内，如发包人需电话支持，在非法定节假日时间段内投标人团队提供专人提供即时技术支持；在法定节假日时间段内提供两小时内响应。</w:t>
      </w:r>
    </w:p>
    <w:p>
      <w:pPr>
        <w:pStyle w:val="31"/>
        <w:spacing w:line="360" w:lineRule="auto"/>
        <w:ind w:firstLine="420"/>
        <w:contextualSpacing/>
        <w:rPr>
          <w:rFonts w:ascii="宋体" w:hAnsi="宋体"/>
          <w:szCs w:val="21"/>
        </w:rPr>
      </w:pPr>
      <w:r>
        <w:rPr>
          <w:rFonts w:hint="eastAsia" w:ascii="宋体" w:hAnsi="宋体"/>
          <w:szCs w:val="21"/>
        </w:rPr>
        <w:t>（4）如系统运行出现故障，投标人团队提供即时响应服务，承诺两小时内提供专业技术人员抵达现场进行系统排障及测试与再部署工作。</w:t>
      </w:r>
    </w:p>
    <w:p>
      <w:pPr>
        <w:pStyle w:val="31"/>
        <w:spacing w:line="360" w:lineRule="auto"/>
        <w:ind w:firstLine="420"/>
        <w:contextualSpacing/>
        <w:rPr>
          <w:rFonts w:ascii="宋体" w:hAnsi="宋体"/>
          <w:szCs w:val="21"/>
        </w:rPr>
      </w:pPr>
      <w:r>
        <w:rPr>
          <w:rFonts w:hint="eastAsia" w:ascii="宋体" w:hAnsi="宋体"/>
          <w:szCs w:val="21"/>
        </w:rPr>
        <w:t xml:space="preserve"> 同时为保障系统使用人员对系统功能的正确掌握，降低系统由于人为因素所导致的运行风险，投标人承诺对系统使用人员进行系统使用培训，培训计划如下：</w:t>
      </w:r>
    </w:p>
    <w:p>
      <w:pPr>
        <w:pStyle w:val="31"/>
        <w:spacing w:line="360" w:lineRule="auto"/>
        <w:ind w:firstLine="420"/>
        <w:contextualSpacing/>
        <w:rPr>
          <w:rFonts w:ascii="宋体" w:hAnsi="宋体"/>
          <w:szCs w:val="21"/>
        </w:rPr>
      </w:pPr>
      <w:r>
        <w:rPr>
          <w:rFonts w:hint="eastAsia" w:ascii="宋体" w:hAnsi="宋体"/>
          <w:szCs w:val="21"/>
        </w:rPr>
        <w:t>本项目执行人承担与本项目有关的一切负责组织应用系统的用户培训工作，投标人对业主单位投入培训讲师，对本系统使用人员进行详尽的系统培训工作。</w:t>
      </w:r>
    </w:p>
    <w:p>
      <w:pPr>
        <w:pStyle w:val="31"/>
        <w:spacing w:line="360" w:lineRule="auto"/>
        <w:ind w:firstLine="420"/>
        <w:contextualSpacing/>
        <w:rPr>
          <w:rFonts w:ascii="宋体" w:hAnsi="宋体"/>
          <w:szCs w:val="21"/>
        </w:rPr>
      </w:pPr>
      <w:r>
        <w:rPr>
          <w:rFonts w:hint="eastAsia" w:ascii="宋体" w:hAnsi="宋体"/>
          <w:szCs w:val="21"/>
        </w:rPr>
        <w:t>培训内容：</w:t>
      </w:r>
    </w:p>
    <w:p>
      <w:pPr>
        <w:pStyle w:val="31"/>
        <w:spacing w:line="360" w:lineRule="auto"/>
        <w:ind w:firstLine="420"/>
        <w:contextualSpacing/>
        <w:rPr>
          <w:rFonts w:ascii="宋体" w:hAnsi="宋体"/>
          <w:szCs w:val="21"/>
        </w:rPr>
      </w:pPr>
      <w:r>
        <w:rPr>
          <w:rFonts w:hint="eastAsia" w:ascii="宋体" w:hAnsi="宋体"/>
          <w:szCs w:val="21"/>
        </w:rPr>
        <w:t>1、系统运行环境：对相关系统使用人员进行系统环境培训，使系统使用者掌握系统基本运行环境、系统高级运行环境及相应环境运行参数与基本运行状态。</w:t>
      </w:r>
    </w:p>
    <w:p>
      <w:pPr>
        <w:pStyle w:val="31"/>
        <w:spacing w:line="360" w:lineRule="auto"/>
        <w:ind w:firstLine="420"/>
        <w:contextualSpacing/>
        <w:rPr>
          <w:rFonts w:ascii="宋体" w:hAnsi="宋体"/>
          <w:szCs w:val="21"/>
        </w:rPr>
      </w:pPr>
      <w:r>
        <w:rPr>
          <w:rFonts w:hint="eastAsia" w:ascii="宋体" w:hAnsi="宋体"/>
          <w:szCs w:val="21"/>
        </w:rPr>
        <w:t>2、系统支持系统部署：使本项目系统使用人员对本系统的主要支持系统部署进行充分了解，包括数据库系统部署、数据传输模块部署、数据存储模块部署、内存库部署、数据传输通道部署等。</w:t>
      </w:r>
    </w:p>
    <w:p>
      <w:pPr>
        <w:pStyle w:val="31"/>
        <w:spacing w:line="360" w:lineRule="auto"/>
        <w:ind w:firstLine="420"/>
        <w:contextualSpacing/>
        <w:rPr>
          <w:rFonts w:ascii="宋体" w:hAnsi="宋体"/>
          <w:szCs w:val="21"/>
        </w:rPr>
      </w:pPr>
      <w:r>
        <w:rPr>
          <w:rFonts w:hint="eastAsia" w:ascii="宋体" w:hAnsi="宋体"/>
          <w:szCs w:val="21"/>
        </w:rPr>
        <w:t>3、系统中间件部署：本部分使系统使用者对于本项目涉及系统的中间件组件具有充分的了解，包含培训系统</w:t>
      </w:r>
      <w:r>
        <w:rPr>
          <w:rFonts w:ascii="宋体" w:hAnsi="宋体"/>
          <w:szCs w:val="21"/>
        </w:rPr>
        <w:t>B/S</w:t>
      </w:r>
      <w:r>
        <w:rPr>
          <w:rFonts w:hint="eastAsia" w:ascii="宋体" w:hAnsi="宋体"/>
          <w:szCs w:val="21"/>
        </w:rPr>
        <w:t>发布方式下的内存库安装、数据库安装、数据发布的</w:t>
      </w:r>
      <w:r>
        <w:rPr>
          <w:rFonts w:ascii="宋体" w:hAnsi="宋体"/>
          <w:szCs w:val="21"/>
        </w:rPr>
        <w:t>Restfull API服务</w:t>
      </w:r>
      <w:r>
        <w:rPr>
          <w:rFonts w:hint="eastAsia" w:ascii="宋体" w:hAnsi="宋体"/>
          <w:szCs w:val="21"/>
        </w:rPr>
        <w:t>安装、系统功能模块安装、系统可视化组件的环境安装等。并对安装后组件的运行状态进行培训。</w:t>
      </w:r>
    </w:p>
    <w:p>
      <w:pPr>
        <w:pStyle w:val="31"/>
        <w:spacing w:line="360" w:lineRule="auto"/>
        <w:ind w:firstLine="420"/>
        <w:contextualSpacing/>
        <w:rPr>
          <w:rFonts w:ascii="宋体" w:hAnsi="宋体"/>
          <w:szCs w:val="21"/>
        </w:rPr>
      </w:pPr>
      <w:r>
        <w:rPr>
          <w:rFonts w:hint="eastAsia" w:ascii="宋体" w:hAnsi="宋体"/>
          <w:szCs w:val="21"/>
        </w:rPr>
        <w:t>4、系统功能模块部署：使系统使用人员对本系统的功能主体部署进行充分理解和掌握，提供对于系统整体构架部署的详细培训，包含可执行程序存放位置、运行路径、注册动态链接库等。同时对于系统模块的部署进行相应培训，提供模块接入位置、模块命名方式、模块应用方式等培训。</w:t>
      </w:r>
    </w:p>
    <w:p>
      <w:pPr>
        <w:pStyle w:val="31"/>
        <w:spacing w:line="360" w:lineRule="auto"/>
        <w:ind w:firstLine="420"/>
        <w:contextualSpacing/>
        <w:rPr>
          <w:rFonts w:ascii="宋体" w:hAnsi="宋体"/>
          <w:szCs w:val="21"/>
        </w:rPr>
      </w:pPr>
      <w:r>
        <w:rPr>
          <w:rFonts w:hint="eastAsia" w:ascii="宋体" w:hAnsi="宋体"/>
          <w:szCs w:val="21"/>
        </w:rPr>
        <w:t>5、系统使用培训：本培训针对本项目涉及系统的主要功能对使用者进行培训，包括功能按钮和菜单作用、数据意义、可视化模块语义、数据异常提示、信息展示范围、系统升级提示、系统可视化界面布局等。</w:t>
      </w:r>
    </w:p>
    <w:p>
      <w:pPr>
        <w:pStyle w:val="31"/>
        <w:spacing w:line="360" w:lineRule="auto"/>
        <w:ind w:firstLine="420"/>
        <w:contextualSpacing/>
        <w:rPr>
          <w:rFonts w:ascii="宋体" w:hAnsi="宋体"/>
          <w:szCs w:val="21"/>
        </w:rPr>
      </w:pPr>
      <w:r>
        <w:rPr>
          <w:rFonts w:hint="eastAsia" w:ascii="宋体" w:hAnsi="宋体"/>
          <w:szCs w:val="21"/>
        </w:rPr>
        <w:t>6、系统运行状态培训：对本系统运行状态进行系统使用人员培训，使相关人员掌握体统运行信息含义，包括系统主界面运行状态提示、系统运行日志信息提示等。</w:t>
      </w:r>
    </w:p>
    <w:p>
      <w:pPr>
        <w:pStyle w:val="31"/>
        <w:spacing w:line="360" w:lineRule="auto"/>
        <w:ind w:firstLine="420"/>
        <w:contextualSpacing/>
        <w:rPr>
          <w:rFonts w:ascii="宋体" w:hAnsi="宋体"/>
          <w:szCs w:val="21"/>
        </w:rPr>
      </w:pPr>
      <w:r>
        <w:rPr>
          <w:rFonts w:hint="eastAsia" w:ascii="宋体" w:hAnsi="宋体"/>
          <w:szCs w:val="21"/>
        </w:rPr>
        <w:t>7、系统维护培训：对系统使用人员进行系统维护培训，使相关人员了解系统维护必要工作及步骤，防止对系统自身及环境造成影响。</w:t>
      </w:r>
    </w:p>
    <w:p>
      <w:pPr>
        <w:pStyle w:val="31"/>
        <w:spacing w:line="360" w:lineRule="auto"/>
        <w:ind w:firstLine="420"/>
        <w:contextualSpacing/>
        <w:rPr>
          <w:rFonts w:ascii="宋体" w:hAnsi="宋体"/>
          <w:szCs w:val="21"/>
        </w:rPr>
      </w:pPr>
      <w:r>
        <w:rPr>
          <w:rFonts w:hint="eastAsia" w:ascii="宋体" w:hAnsi="宋体"/>
          <w:szCs w:val="21"/>
        </w:rPr>
        <w:t>8、系统启停培训：培训相应系统使用人员进行正确的系统启停操作，方式造成本项目相关系统运行数据损坏。</w:t>
      </w:r>
    </w:p>
    <w:p>
      <w:pPr>
        <w:pStyle w:val="31"/>
        <w:spacing w:line="360" w:lineRule="auto"/>
        <w:ind w:firstLine="420"/>
        <w:contextualSpacing/>
        <w:rPr>
          <w:rFonts w:ascii="宋体" w:hAnsi="宋体"/>
          <w:szCs w:val="21"/>
        </w:rPr>
      </w:pPr>
      <w:r>
        <w:rPr>
          <w:rFonts w:hint="eastAsia" w:ascii="宋体" w:hAnsi="宋体"/>
          <w:szCs w:val="21"/>
        </w:rPr>
        <w:t>培训方式：</w:t>
      </w:r>
    </w:p>
    <w:p>
      <w:pPr>
        <w:pStyle w:val="31"/>
        <w:spacing w:line="360" w:lineRule="auto"/>
        <w:ind w:firstLine="420"/>
        <w:contextualSpacing/>
        <w:rPr>
          <w:rFonts w:ascii="宋体" w:hAnsi="宋体"/>
          <w:szCs w:val="21"/>
        </w:rPr>
      </w:pPr>
      <w:r>
        <w:rPr>
          <w:rFonts w:hint="eastAsia" w:ascii="宋体" w:hAnsi="宋体"/>
          <w:szCs w:val="21"/>
        </w:rPr>
        <w:t>根据业主不同时间节点的培训需求，本培训可提供：现场培训、电话培训、网上培训等多种方式，可由业主灵活选择。在本项目质保期内，如业主根据培训内容无法处理本项目相关系统问题时，项目执行人承诺工作日二小时内到达现场进行问题解答与排障；节假日四小时内到达现场进行问题解答与排障。质保期外，项目执行人在资源允许的情况下，依然提供同样技术培训及支持保障。</w:t>
      </w:r>
    </w:p>
    <w:p>
      <w:pPr>
        <w:pStyle w:val="31"/>
        <w:spacing w:line="360" w:lineRule="auto"/>
        <w:ind w:firstLine="420"/>
        <w:contextualSpacing/>
        <w:rPr>
          <w:rFonts w:ascii="宋体" w:hAnsi="宋体"/>
          <w:szCs w:val="21"/>
        </w:rPr>
      </w:pPr>
      <w:r>
        <w:rPr>
          <w:rFonts w:hint="eastAsia" w:ascii="宋体" w:hAnsi="宋体"/>
          <w:szCs w:val="21"/>
        </w:rPr>
        <w:t>培训时间：</w:t>
      </w:r>
    </w:p>
    <w:p>
      <w:pPr>
        <w:pStyle w:val="31"/>
        <w:spacing w:line="360" w:lineRule="auto"/>
        <w:ind w:firstLine="420"/>
        <w:contextualSpacing/>
        <w:rPr>
          <w:rFonts w:ascii="宋体" w:hAnsi="宋体"/>
          <w:szCs w:val="21"/>
        </w:rPr>
      </w:pPr>
      <w:r>
        <w:rPr>
          <w:rFonts w:hint="eastAsia" w:ascii="宋体" w:hAnsi="宋体"/>
          <w:szCs w:val="21"/>
        </w:rPr>
        <w:t>1、项目相关系统投运后一个月内，对相应系统使用人员进行集中培训，完成相关内容培训。</w:t>
      </w:r>
    </w:p>
    <w:p>
      <w:pPr>
        <w:pStyle w:val="31"/>
        <w:spacing w:line="360" w:lineRule="auto"/>
        <w:ind w:firstLine="420"/>
        <w:contextualSpacing/>
        <w:rPr>
          <w:rFonts w:ascii="宋体" w:hAnsi="宋体"/>
          <w:szCs w:val="21"/>
        </w:rPr>
      </w:pPr>
      <w:r>
        <w:rPr>
          <w:rFonts w:hint="eastAsia" w:ascii="宋体" w:hAnsi="宋体"/>
          <w:szCs w:val="21"/>
        </w:rPr>
        <w:t>2、在项目相关系统投运后一至六个月内，对相应系统使用人员进行答疑式培训，任何与本系统相关问题，可根据培训方式部分所提供模式，由业主进行培训方式选择。</w:t>
      </w:r>
    </w:p>
    <w:p>
      <w:pPr>
        <w:pStyle w:val="31"/>
        <w:spacing w:line="360" w:lineRule="auto"/>
        <w:ind w:firstLine="420"/>
        <w:contextualSpacing/>
        <w:rPr>
          <w:rFonts w:ascii="宋体" w:hAnsi="宋体"/>
          <w:szCs w:val="21"/>
        </w:rPr>
      </w:pPr>
      <w:r>
        <w:rPr>
          <w:rFonts w:hint="eastAsia" w:ascii="宋体" w:hAnsi="宋体"/>
          <w:szCs w:val="21"/>
        </w:rPr>
        <w:t>3、在项目相关系统投运后六至十二月内，对相应系统使用人员进行强化及更新培训，对系统重点功能及重点状态进行强化培训；对系统升级模组进行新功能环境、接入、运行及应用等培训。</w:t>
      </w:r>
    </w:p>
    <w:p>
      <w:pPr>
        <w:pStyle w:val="31"/>
        <w:spacing w:line="360" w:lineRule="auto"/>
        <w:ind w:firstLine="420"/>
        <w:contextualSpacing/>
        <w:rPr>
          <w:rFonts w:ascii="宋体" w:hAnsi="宋体"/>
          <w:szCs w:val="21"/>
        </w:rPr>
      </w:pPr>
      <w:r>
        <w:rPr>
          <w:rFonts w:hint="eastAsia" w:ascii="宋体" w:hAnsi="宋体"/>
          <w:szCs w:val="21"/>
        </w:rPr>
        <w:t>4、在项目相关系统投运十二个月及以上，根据业主培训需求及功能需求组织定制化培训，根据业主要求制定培训方案及内容。</w:t>
      </w:r>
    </w:p>
    <w:p>
      <w:pPr>
        <w:pStyle w:val="31"/>
        <w:spacing w:line="360" w:lineRule="auto"/>
        <w:ind w:firstLine="420"/>
        <w:contextualSpacing/>
        <w:rPr>
          <w:rFonts w:ascii="宋体" w:hAnsi="宋体"/>
          <w:szCs w:val="21"/>
        </w:rPr>
      </w:pPr>
      <w:r>
        <w:rPr>
          <w:rFonts w:hint="eastAsia" w:ascii="宋体" w:hAnsi="宋体"/>
          <w:szCs w:val="21"/>
        </w:rPr>
        <w:t>培训承诺：</w:t>
      </w:r>
    </w:p>
    <w:p>
      <w:pPr>
        <w:pStyle w:val="31"/>
        <w:spacing w:line="360" w:lineRule="auto"/>
        <w:ind w:firstLine="420"/>
        <w:contextualSpacing/>
        <w:rPr>
          <w:rFonts w:ascii="宋体" w:hAnsi="宋体"/>
          <w:szCs w:val="21"/>
        </w:rPr>
      </w:pPr>
      <w:r>
        <w:rPr>
          <w:rFonts w:hint="eastAsia" w:ascii="宋体" w:hAnsi="宋体"/>
          <w:szCs w:val="21"/>
        </w:rPr>
        <w:t>项目执行人承诺对系统使用者进行充分的培训，使相关人员从系统底层至系统应用进行充分理解和熟练掌握，保障系统应用的安全性和效率。</w:t>
      </w: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13" w:name="_Toc14250004"/>
      <w:r>
        <w:rPr>
          <w:rFonts w:hint="eastAsia" w:ascii="宋体" w:hAnsi="宋体" w:eastAsia="宋体" w:cstheme="majorBidi"/>
          <w:b/>
          <w:bCs/>
          <w:sz w:val="24"/>
          <w:szCs w:val="32"/>
        </w:rPr>
        <w:t>项目进度、安全控制措施。</w:t>
      </w:r>
      <w:bookmarkEnd w:id="13"/>
    </w:p>
    <w:p>
      <w:pPr>
        <w:pStyle w:val="31"/>
        <w:spacing w:line="360" w:lineRule="auto"/>
        <w:ind w:firstLine="420"/>
        <w:contextualSpacing/>
        <w:rPr>
          <w:rFonts w:ascii="宋体" w:hAnsi="宋体"/>
          <w:szCs w:val="21"/>
        </w:rPr>
      </w:pPr>
      <w:r>
        <w:rPr>
          <w:rFonts w:hint="eastAsia" w:ascii="宋体" w:hAnsi="宋体"/>
          <w:szCs w:val="21"/>
        </w:rPr>
        <w:t>项目进度：</w:t>
      </w:r>
    </w:p>
    <w:tbl>
      <w:tblPr>
        <w:tblStyle w:val="1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984"/>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pStyle w:val="31"/>
              <w:ind w:firstLine="420"/>
              <w:contextualSpacing/>
              <w:jc w:val="center"/>
              <w:rPr>
                <w:rFonts w:ascii="宋体" w:hAnsi="宋体"/>
                <w:szCs w:val="21"/>
              </w:rPr>
            </w:pPr>
            <w:r>
              <w:rPr>
                <w:rFonts w:ascii="宋体" w:hAnsi="宋体"/>
                <w:szCs w:val="21"/>
              </w:rPr>
              <w:t>序号</w:t>
            </w:r>
          </w:p>
        </w:tc>
        <w:tc>
          <w:tcPr>
            <w:tcW w:w="1984" w:type="dxa"/>
          </w:tcPr>
          <w:p>
            <w:pPr>
              <w:pStyle w:val="31"/>
              <w:ind w:firstLine="420"/>
              <w:contextualSpacing/>
              <w:rPr>
                <w:rFonts w:ascii="宋体" w:hAnsi="宋体"/>
                <w:szCs w:val="21"/>
              </w:rPr>
            </w:pPr>
            <w:r>
              <w:rPr>
                <w:rFonts w:ascii="宋体" w:hAnsi="宋体"/>
                <w:szCs w:val="21"/>
              </w:rPr>
              <w:t>起止时间</w:t>
            </w:r>
          </w:p>
        </w:tc>
        <w:tc>
          <w:tcPr>
            <w:tcW w:w="4111" w:type="dxa"/>
          </w:tcPr>
          <w:p>
            <w:pPr>
              <w:pStyle w:val="31"/>
              <w:ind w:firstLine="420"/>
              <w:contextualSpacing/>
              <w:rPr>
                <w:rFonts w:ascii="宋体" w:hAnsi="宋体"/>
                <w:szCs w:val="21"/>
              </w:rPr>
            </w:pPr>
            <w:r>
              <w:rPr>
                <w:rFonts w:ascii="宋体" w:hAnsi="宋体"/>
                <w:szCs w:val="21"/>
              </w:rPr>
              <w:t>任务内容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pStyle w:val="31"/>
              <w:ind w:firstLine="420"/>
              <w:contextualSpacing/>
              <w:rPr>
                <w:rFonts w:ascii="宋体" w:hAnsi="宋体"/>
                <w:szCs w:val="21"/>
              </w:rPr>
            </w:pPr>
            <w:r>
              <w:rPr>
                <w:rFonts w:hint="eastAsia" w:ascii="宋体" w:hAnsi="宋体"/>
                <w:szCs w:val="21"/>
              </w:rPr>
              <w:t>1</w:t>
            </w:r>
          </w:p>
        </w:tc>
        <w:tc>
          <w:tcPr>
            <w:tcW w:w="1984" w:type="dxa"/>
          </w:tcPr>
          <w:p>
            <w:pPr>
              <w:pStyle w:val="31"/>
              <w:contextualSpacing/>
              <w:rPr>
                <w:rFonts w:ascii="宋体" w:hAnsi="宋体"/>
                <w:szCs w:val="21"/>
              </w:rPr>
            </w:pPr>
            <w:r>
              <w:rPr>
                <w:rFonts w:hint="eastAsia" w:ascii="宋体" w:hAnsi="宋体"/>
                <w:szCs w:val="21"/>
              </w:rPr>
              <w:t>2019年9月30日前</w:t>
            </w:r>
          </w:p>
        </w:tc>
        <w:tc>
          <w:tcPr>
            <w:tcW w:w="4111" w:type="dxa"/>
          </w:tcPr>
          <w:p>
            <w:pPr>
              <w:pStyle w:val="31"/>
              <w:contextualSpacing/>
              <w:rPr>
                <w:rFonts w:ascii="宋体" w:hAnsi="宋体"/>
                <w:szCs w:val="21"/>
              </w:rPr>
            </w:pPr>
            <w:r>
              <w:rPr>
                <w:rFonts w:hint="eastAsia" w:ascii="宋体" w:hAnsi="宋体"/>
                <w:szCs w:val="21"/>
              </w:rPr>
              <w:t>梳理现有高压开关柜参数传感器种类，对高压开关柜多参数状态监测传感器提出升级和改造方案，研制新型弧光保护技术，提交新型弧光保护系统总体设计报告等内容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pStyle w:val="31"/>
              <w:ind w:firstLine="420"/>
              <w:contextualSpacing/>
              <w:rPr>
                <w:rFonts w:ascii="宋体" w:hAnsi="宋体"/>
                <w:szCs w:val="21"/>
              </w:rPr>
            </w:pPr>
            <w:r>
              <w:rPr>
                <w:rFonts w:hint="eastAsia" w:ascii="宋体" w:hAnsi="宋体"/>
                <w:szCs w:val="21"/>
              </w:rPr>
              <w:t>2</w:t>
            </w:r>
          </w:p>
        </w:tc>
        <w:tc>
          <w:tcPr>
            <w:tcW w:w="1984" w:type="dxa"/>
          </w:tcPr>
          <w:p>
            <w:pPr>
              <w:pStyle w:val="31"/>
              <w:contextualSpacing/>
              <w:rPr>
                <w:rFonts w:ascii="宋体" w:hAnsi="宋体"/>
                <w:szCs w:val="21"/>
              </w:rPr>
            </w:pPr>
            <w:r>
              <w:rPr>
                <w:rFonts w:hint="eastAsia" w:ascii="宋体" w:hAnsi="宋体"/>
                <w:szCs w:val="21"/>
              </w:rPr>
              <w:t>2019年10月1日~</w:t>
            </w:r>
          </w:p>
          <w:p>
            <w:pPr>
              <w:pStyle w:val="31"/>
              <w:contextualSpacing/>
              <w:rPr>
                <w:rFonts w:ascii="宋体" w:hAnsi="宋体"/>
                <w:szCs w:val="21"/>
              </w:rPr>
            </w:pPr>
            <w:r>
              <w:rPr>
                <w:rFonts w:hint="eastAsia" w:ascii="宋体" w:hAnsi="宋体"/>
                <w:szCs w:val="21"/>
              </w:rPr>
              <w:t>2019年12月31日</w:t>
            </w:r>
          </w:p>
        </w:tc>
        <w:tc>
          <w:tcPr>
            <w:tcW w:w="4111" w:type="dxa"/>
          </w:tcPr>
          <w:p>
            <w:pPr>
              <w:pStyle w:val="31"/>
              <w:contextualSpacing/>
              <w:rPr>
                <w:rFonts w:ascii="宋体" w:hAnsi="宋体"/>
                <w:szCs w:val="21"/>
              </w:rPr>
            </w:pPr>
            <w:r>
              <w:rPr>
                <w:rFonts w:hint="eastAsia" w:ascii="宋体" w:hAnsi="宋体"/>
                <w:szCs w:val="21"/>
              </w:rPr>
              <w:t>研制具有高可靠性和抗干扰能力的数据采集器，研制具有高可靠性和抗干扰能力的数据存储与安全隔离终端，开展基于多维状态参数向量的高压开关柜运行状态评估模型研究。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pStyle w:val="31"/>
              <w:ind w:firstLine="420"/>
              <w:contextualSpacing/>
              <w:rPr>
                <w:rFonts w:ascii="宋体" w:hAnsi="宋体"/>
                <w:szCs w:val="21"/>
              </w:rPr>
            </w:pPr>
            <w:r>
              <w:rPr>
                <w:rFonts w:hint="eastAsia" w:ascii="宋体" w:hAnsi="宋体"/>
                <w:szCs w:val="21"/>
              </w:rPr>
              <w:t>3</w:t>
            </w:r>
          </w:p>
        </w:tc>
        <w:tc>
          <w:tcPr>
            <w:tcW w:w="1984" w:type="dxa"/>
          </w:tcPr>
          <w:p>
            <w:pPr>
              <w:pStyle w:val="31"/>
              <w:contextualSpacing/>
              <w:rPr>
                <w:rFonts w:ascii="宋体" w:hAnsi="宋体"/>
                <w:szCs w:val="21"/>
              </w:rPr>
            </w:pPr>
            <w:r>
              <w:rPr>
                <w:rFonts w:hint="eastAsia" w:ascii="宋体" w:hAnsi="宋体"/>
                <w:szCs w:val="21"/>
              </w:rPr>
              <w:t>2020年1月1日~</w:t>
            </w:r>
          </w:p>
          <w:p>
            <w:pPr>
              <w:pStyle w:val="31"/>
              <w:contextualSpacing/>
              <w:rPr>
                <w:rFonts w:ascii="宋体" w:hAnsi="宋体"/>
                <w:szCs w:val="21"/>
              </w:rPr>
            </w:pPr>
            <w:r>
              <w:rPr>
                <w:rFonts w:hint="eastAsia" w:ascii="宋体" w:hAnsi="宋体"/>
                <w:szCs w:val="21"/>
              </w:rPr>
              <w:t>2020年4月30日</w:t>
            </w:r>
          </w:p>
        </w:tc>
        <w:tc>
          <w:tcPr>
            <w:tcW w:w="4111" w:type="dxa"/>
          </w:tcPr>
          <w:p>
            <w:pPr>
              <w:pStyle w:val="31"/>
              <w:contextualSpacing/>
              <w:rPr>
                <w:rFonts w:ascii="宋体" w:hAnsi="宋体"/>
                <w:szCs w:val="21"/>
              </w:rPr>
            </w:pPr>
            <w:r>
              <w:rPr>
                <w:rFonts w:hint="eastAsia" w:ascii="宋体" w:hAnsi="宋体"/>
                <w:szCs w:val="21"/>
              </w:rPr>
              <w:t>基于多维状态参数向量的高压开关柜运行状态与健康程度在线诊断研究制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pStyle w:val="31"/>
              <w:ind w:firstLine="420"/>
              <w:contextualSpacing/>
              <w:rPr>
                <w:rFonts w:ascii="宋体" w:hAnsi="宋体"/>
                <w:szCs w:val="21"/>
              </w:rPr>
            </w:pPr>
            <w:r>
              <w:rPr>
                <w:rFonts w:hint="eastAsia" w:ascii="宋体" w:hAnsi="宋体"/>
                <w:szCs w:val="21"/>
              </w:rPr>
              <w:t>4</w:t>
            </w:r>
          </w:p>
        </w:tc>
        <w:tc>
          <w:tcPr>
            <w:tcW w:w="1984" w:type="dxa"/>
          </w:tcPr>
          <w:p>
            <w:pPr>
              <w:pStyle w:val="31"/>
              <w:contextualSpacing/>
              <w:rPr>
                <w:rFonts w:ascii="宋体" w:hAnsi="宋体"/>
                <w:szCs w:val="21"/>
              </w:rPr>
            </w:pPr>
            <w:r>
              <w:rPr>
                <w:rFonts w:hint="eastAsia" w:ascii="宋体" w:hAnsi="宋体"/>
                <w:szCs w:val="21"/>
              </w:rPr>
              <w:t>2020年5月1日~</w:t>
            </w:r>
          </w:p>
          <w:p>
            <w:pPr>
              <w:pStyle w:val="31"/>
              <w:contextualSpacing/>
              <w:rPr>
                <w:rFonts w:ascii="宋体" w:hAnsi="宋体"/>
                <w:szCs w:val="21"/>
              </w:rPr>
            </w:pPr>
            <w:r>
              <w:rPr>
                <w:rFonts w:hint="eastAsia" w:ascii="宋体" w:hAnsi="宋体"/>
                <w:szCs w:val="21"/>
              </w:rPr>
              <w:t>2020年8月31日</w:t>
            </w:r>
          </w:p>
        </w:tc>
        <w:tc>
          <w:tcPr>
            <w:tcW w:w="4111" w:type="dxa"/>
          </w:tcPr>
          <w:p>
            <w:pPr>
              <w:pStyle w:val="31"/>
              <w:contextualSpacing/>
              <w:rPr>
                <w:rFonts w:ascii="宋体" w:hAnsi="宋体"/>
                <w:szCs w:val="21"/>
              </w:rPr>
            </w:pPr>
            <w:r>
              <w:rPr>
                <w:rFonts w:hint="eastAsia" w:ascii="宋体" w:hAnsi="宋体"/>
                <w:szCs w:val="21"/>
              </w:rPr>
              <w:t>开展基于实测数据的高压开关柜事故追溯分析方法，研发面向高压开关柜故障监测、防控与事故追溯的可视化站端系统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pStyle w:val="31"/>
              <w:ind w:firstLine="420"/>
              <w:contextualSpacing/>
              <w:rPr>
                <w:rFonts w:ascii="宋体" w:hAnsi="宋体"/>
                <w:szCs w:val="21"/>
              </w:rPr>
            </w:pPr>
            <w:r>
              <w:rPr>
                <w:rFonts w:hint="eastAsia" w:ascii="宋体" w:hAnsi="宋体"/>
                <w:szCs w:val="21"/>
              </w:rPr>
              <w:t>5</w:t>
            </w:r>
          </w:p>
        </w:tc>
        <w:tc>
          <w:tcPr>
            <w:tcW w:w="1984" w:type="dxa"/>
          </w:tcPr>
          <w:p>
            <w:pPr>
              <w:pStyle w:val="31"/>
              <w:contextualSpacing/>
              <w:rPr>
                <w:rFonts w:ascii="宋体" w:hAnsi="宋体"/>
                <w:szCs w:val="21"/>
              </w:rPr>
            </w:pPr>
            <w:r>
              <w:rPr>
                <w:rFonts w:hint="eastAsia" w:ascii="宋体" w:hAnsi="宋体"/>
                <w:szCs w:val="21"/>
              </w:rPr>
              <w:t>2020年9月1日~</w:t>
            </w:r>
          </w:p>
          <w:p>
            <w:pPr>
              <w:pStyle w:val="31"/>
              <w:contextualSpacing/>
              <w:rPr>
                <w:rFonts w:ascii="宋体" w:hAnsi="宋体"/>
                <w:szCs w:val="21"/>
              </w:rPr>
            </w:pPr>
            <w:r>
              <w:rPr>
                <w:rFonts w:hint="eastAsia" w:ascii="宋体" w:hAnsi="宋体"/>
                <w:szCs w:val="21"/>
              </w:rPr>
              <w:t>2020年12月31日</w:t>
            </w:r>
          </w:p>
        </w:tc>
        <w:tc>
          <w:tcPr>
            <w:tcW w:w="4111" w:type="dxa"/>
          </w:tcPr>
          <w:p>
            <w:pPr>
              <w:pStyle w:val="31"/>
              <w:contextualSpacing/>
              <w:rPr>
                <w:rFonts w:ascii="宋体" w:hAnsi="宋体"/>
                <w:szCs w:val="21"/>
              </w:rPr>
            </w:pPr>
            <w:r>
              <w:rPr>
                <w:rFonts w:hint="eastAsia" w:ascii="宋体" w:hAnsi="宋体"/>
                <w:szCs w:val="21"/>
              </w:rPr>
              <w:t>完成全部报告与论文的撰写工作，申报相关专利及版权</w:t>
            </w:r>
          </w:p>
        </w:tc>
      </w:tr>
    </w:tbl>
    <w:p>
      <w:pPr>
        <w:pStyle w:val="31"/>
        <w:spacing w:line="360" w:lineRule="auto"/>
        <w:ind w:firstLine="420"/>
        <w:contextualSpacing/>
        <w:rPr>
          <w:rFonts w:ascii="宋体" w:hAnsi="宋体"/>
          <w:szCs w:val="21"/>
        </w:rPr>
      </w:pPr>
      <w:r>
        <w:rPr>
          <w:rFonts w:hint="eastAsia" w:ascii="宋体" w:hAnsi="宋体"/>
          <w:szCs w:val="21"/>
        </w:rPr>
        <w:t>投标人安全控制措施：</w:t>
      </w:r>
    </w:p>
    <w:p>
      <w:pPr>
        <w:pStyle w:val="31"/>
        <w:spacing w:line="360" w:lineRule="auto"/>
        <w:ind w:firstLine="420"/>
        <w:contextualSpacing/>
        <w:rPr>
          <w:rFonts w:ascii="宋体" w:hAnsi="宋体"/>
          <w:szCs w:val="21"/>
        </w:rPr>
      </w:pPr>
      <w:r>
        <w:rPr>
          <w:rFonts w:hint="eastAsia" w:ascii="宋体" w:hAnsi="宋体"/>
          <w:szCs w:val="21"/>
        </w:rPr>
        <w:t xml:space="preserve"> 本项目实施过程中，将严格制定时间节点，采用甘特图方式、日清、周清、月清的方式对项目开发进度进行管控。通过层级负责制：开发人员——模块设计人员——系统架构设计人员——项目管理人员——项目负责人的负责模式，对项目整体进度实施管控。</w:t>
      </w:r>
    </w:p>
    <w:p>
      <w:pPr>
        <w:topLinePunct/>
        <w:spacing w:line="360" w:lineRule="auto"/>
        <w:contextualSpacing/>
        <w:rPr>
          <w:rFonts w:ascii="宋体" w:hAnsi="宋体" w:eastAsia="宋体" w:cs="Times New Roman"/>
          <w:b/>
          <w:bCs/>
          <w:kern w:val="0"/>
          <w:szCs w:val="24"/>
        </w:rPr>
      </w:pPr>
      <w:r>
        <w:rPr>
          <w:rFonts w:hint="eastAsia" w:ascii="宋体" w:hAnsi="宋体" w:eastAsia="宋体"/>
          <w:szCs w:val="21"/>
        </w:rPr>
        <w:t>本项目为系统开发项目，严格按照国网四川省电力公司相关信息技术安全标准进行系统研发，杜绝数据交换、数据存储过程中的数据安全隐患。严格测试系统模块功能，杜绝诸如内存泄露等可能导致系统崩溃的安全隐患存在。</w:t>
      </w: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14" w:name="_Toc14250005"/>
      <w:r>
        <w:rPr>
          <w:rFonts w:hint="eastAsia" w:ascii="宋体" w:hAnsi="宋体" w:eastAsia="宋体" w:cstheme="majorBidi"/>
          <w:b/>
          <w:bCs/>
          <w:sz w:val="24"/>
          <w:szCs w:val="32"/>
        </w:rPr>
        <w:t>工作方案的先进性、创新性，技术、经济、质量指标，风险分析等。</w:t>
      </w:r>
      <w:bookmarkEnd w:id="14"/>
    </w:p>
    <w:p>
      <w:pPr>
        <w:pStyle w:val="31"/>
        <w:spacing w:line="360" w:lineRule="auto"/>
        <w:ind w:firstLine="420"/>
        <w:rPr>
          <w:rFonts w:ascii="宋体" w:hAnsi="宋体"/>
          <w:szCs w:val="21"/>
        </w:rPr>
      </w:pPr>
      <w:r>
        <w:rPr>
          <w:rFonts w:hint="eastAsia" w:ascii="宋体" w:hAnsi="宋体"/>
          <w:szCs w:val="21"/>
        </w:rPr>
        <w:t>项目依据国家电网公司泛在物联网应用架构（架构见下图），采用感知层、网络层、平台层以及应用层四层体系架构，作为电力泛在电力物联网的有机组成部分。</w:t>
      </w:r>
    </w:p>
    <w:p>
      <w:pPr>
        <w:jc w:val="center"/>
        <w:rPr>
          <w:rFonts w:ascii="宋体" w:hAnsi="宋体" w:eastAsia="宋体"/>
          <w:szCs w:val="21"/>
        </w:rPr>
      </w:pPr>
      <w:r>
        <w:rPr>
          <w:rFonts w:ascii="宋体" w:hAnsi="宋体" w:eastAsia="宋体"/>
        </w:rPr>
        <w:drawing>
          <wp:inline distT="0" distB="0" distL="0" distR="0">
            <wp:extent cx="3737610" cy="14039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37610" cy="1403985"/>
                    </a:xfrm>
                    <a:prstGeom prst="rect">
                      <a:avLst/>
                    </a:prstGeom>
                    <a:noFill/>
                    <a:ln>
                      <a:noFill/>
                    </a:ln>
                  </pic:spPr>
                </pic:pic>
              </a:graphicData>
            </a:graphic>
          </wp:inline>
        </w:drawing>
      </w:r>
    </w:p>
    <w:p>
      <w:pPr>
        <w:jc w:val="center"/>
        <w:rPr>
          <w:rFonts w:ascii="宋体" w:hAnsi="宋体" w:eastAsia="宋体"/>
        </w:rPr>
      </w:pPr>
      <w:r>
        <w:rPr>
          <w:rFonts w:hint="eastAsia" w:ascii="宋体" w:hAnsi="宋体" w:eastAsia="宋体"/>
        </w:rPr>
        <w:t>国家电网公司</w:t>
      </w:r>
      <w:r>
        <w:rPr>
          <w:rFonts w:hint="eastAsia" w:ascii="宋体" w:hAnsi="宋体" w:eastAsia="宋体" w:cs="宋体"/>
        </w:rPr>
        <w:t>泛</w:t>
      </w:r>
      <w:r>
        <w:rPr>
          <w:rFonts w:hint="eastAsia" w:ascii="宋体" w:hAnsi="宋体" w:eastAsia="宋体" w:cs="___WRD_EMBED_SUB_44"/>
        </w:rPr>
        <w:t>在</w:t>
      </w:r>
      <w:r>
        <w:rPr>
          <w:rFonts w:hint="eastAsia" w:ascii="宋体" w:hAnsi="宋体" w:eastAsia="宋体" w:cs="宋体"/>
        </w:rPr>
        <w:t>物</w:t>
      </w:r>
      <w:r>
        <w:rPr>
          <w:rFonts w:hint="eastAsia" w:ascii="宋体" w:hAnsi="宋体" w:eastAsia="宋体" w:cs="___WRD_EMBED_SUB_44"/>
        </w:rPr>
        <w:t>联网应用架构</w:t>
      </w:r>
    </w:p>
    <w:p>
      <w:pPr>
        <w:pStyle w:val="31"/>
        <w:spacing w:line="360" w:lineRule="auto"/>
        <w:ind w:firstLine="420"/>
        <w:rPr>
          <w:rFonts w:ascii="宋体" w:hAnsi="宋体" w:cs="___WRD_EMBED_SUB_44"/>
          <w:szCs w:val="21"/>
        </w:rPr>
      </w:pPr>
      <w:r>
        <w:rPr>
          <w:rFonts w:hint="eastAsia" w:ascii="宋体" w:hAnsi="宋体"/>
          <w:szCs w:val="21"/>
        </w:rPr>
        <w:t>感知层整合弧光保护监测、机械特性监测、触电温度监测、局部放电监测等智能传感器，通过智能网关进行数据汇集及初步判断，再通过专网、工业以太网以及北斗进行数据实时传输和设备授时，应用层基于三维计算引擎，为用户提供沉浸式开关柜告警及预测体验。</w:t>
      </w:r>
    </w:p>
    <w:p>
      <w:pPr>
        <w:pStyle w:val="31"/>
        <w:spacing w:line="360" w:lineRule="auto"/>
        <w:ind w:firstLine="420"/>
        <w:rPr>
          <w:rFonts w:ascii="宋体" w:hAnsi="宋体"/>
          <w:kern w:val="0"/>
        </w:rPr>
      </w:pPr>
      <w:r>
        <w:rPr>
          <w:rFonts w:ascii="宋体" w:hAnsi="宋体"/>
          <w:szCs w:val="21"/>
        </w:rPr>
        <w:drawing>
          <wp:inline distT="0" distB="0" distL="0" distR="0">
            <wp:extent cx="4771390" cy="1952625"/>
            <wp:effectExtent l="0" t="0" r="0" b="952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77464" cy="1996522"/>
                    </a:xfrm>
                    <a:prstGeom prst="rect">
                      <a:avLst/>
                    </a:prstGeom>
                    <a:noFill/>
                  </pic:spPr>
                </pic:pic>
              </a:graphicData>
            </a:graphic>
          </wp:inline>
        </w:drawing>
      </w:r>
    </w:p>
    <w:p>
      <w:pPr>
        <w:pStyle w:val="31"/>
        <w:spacing w:line="360" w:lineRule="auto"/>
        <w:ind w:firstLine="420"/>
        <w:jc w:val="center"/>
        <w:rPr>
          <w:rFonts w:ascii="宋体" w:hAnsi="宋体"/>
          <w:kern w:val="0"/>
        </w:rPr>
      </w:pPr>
      <w:r>
        <w:rPr>
          <w:rFonts w:hint="eastAsia" w:ascii="宋体" w:hAnsi="宋体"/>
          <w:kern w:val="0"/>
        </w:rPr>
        <w:t>系统结构图</w:t>
      </w:r>
    </w:p>
    <w:p>
      <w:pPr>
        <w:pStyle w:val="31"/>
        <w:spacing w:line="360" w:lineRule="auto"/>
        <w:ind w:firstLine="420"/>
        <w:rPr>
          <w:rFonts w:ascii="宋体" w:hAnsi="宋体"/>
          <w:szCs w:val="21"/>
        </w:rPr>
      </w:pPr>
      <w:r>
        <w:rPr>
          <w:rFonts w:hint="eastAsia" w:ascii="宋体" w:hAnsi="宋体"/>
          <w:szCs w:val="21"/>
        </w:rPr>
        <w:t>项目系统软件基于REST架构设计，使用RESTful提供服务。REST全称是Representational State Transfer，它首次出现在2000年Roy Fielding的博士论文中，Roy Fielding是HTTP规范的主要编写者之一。 他在论文中提到："我这篇文章的写作目的，就是想在</w:t>
      </w:r>
      <w:r>
        <w:rPr>
          <w:rFonts w:hint="eastAsia" w:ascii="宋体" w:hAnsi="宋体" w:cs="宋体"/>
          <w:szCs w:val="21"/>
        </w:rPr>
        <w:t>符</w:t>
      </w:r>
      <w:r>
        <w:rPr>
          <w:rFonts w:hint="eastAsia" w:ascii="宋体" w:hAnsi="宋体" w:cs="___WRD_EMBED_SUB_44"/>
          <w:szCs w:val="21"/>
        </w:rPr>
        <w:t>合架构原理的前提下，理解和评估以网络为基础的应用软件的架构设计，得</w:t>
      </w:r>
      <w:r>
        <w:rPr>
          <w:rFonts w:hint="eastAsia" w:ascii="宋体" w:hAnsi="宋体"/>
          <w:szCs w:val="21"/>
        </w:rPr>
        <w:t>到一个功能强、性能好、适</w:t>
      </w:r>
      <w:r>
        <w:rPr>
          <w:rFonts w:hint="eastAsia" w:ascii="宋体" w:hAnsi="宋体" w:cs="宋体"/>
          <w:szCs w:val="21"/>
        </w:rPr>
        <w:t>宜</w:t>
      </w:r>
      <w:r>
        <w:rPr>
          <w:rFonts w:hint="eastAsia" w:ascii="宋体" w:hAnsi="宋体" w:cs="___WRD_EMBED_SUB_44"/>
          <w:szCs w:val="21"/>
        </w:rPr>
        <w:t>通信的架构。</w:t>
      </w:r>
      <w:r>
        <w:rPr>
          <w:rFonts w:hint="eastAsia" w:ascii="宋体" w:hAnsi="宋体"/>
          <w:szCs w:val="21"/>
        </w:rPr>
        <w:t>REST指的是一组架构约束条件和原则。" 如果一个架构</w:t>
      </w:r>
      <w:r>
        <w:rPr>
          <w:rFonts w:hint="eastAsia" w:ascii="宋体" w:hAnsi="宋体" w:cs="宋体"/>
          <w:szCs w:val="21"/>
        </w:rPr>
        <w:t>符</w:t>
      </w:r>
      <w:r>
        <w:rPr>
          <w:rFonts w:hint="eastAsia" w:ascii="宋体" w:hAnsi="宋体" w:cs="___WRD_EMBED_SUB_44"/>
          <w:szCs w:val="21"/>
        </w:rPr>
        <w:t>合</w:t>
      </w:r>
      <w:r>
        <w:rPr>
          <w:rFonts w:hint="eastAsia" w:ascii="宋体" w:hAnsi="宋体"/>
          <w:szCs w:val="21"/>
        </w:rPr>
        <w:t>REST的约束条件和原则，我</w:t>
      </w:r>
      <w:r>
        <w:rPr>
          <w:rFonts w:hint="eastAsia" w:ascii="宋体" w:hAnsi="宋体" w:cs="宋体"/>
          <w:szCs w:val="21"/>
        </w:rPr>
        <w:t>们</w:t>
      </w:r>
      <w:r>
        <w:rPr>
          <w:rFonts w:hint="eastAsia" w:ascii="宋体" w:hAnsi="宋体" w:cs="___WRD_EMBED_SUB_44"/>
          <w:szCs w:val="21"/>
        </w:rPr>
        <w:t>就称它为</w:t>
      </w:r>
      <w:r>
        <w:rPr>
          <w:rFonts w:hint="eastAsia" w:ascii="宋体" w:hAnsi="宋体"/>
          <w:szCs w:val="21"/>
        </w:rPr>
        <w:t>RESTful架构。REST架构主要有如下三个优点：简单性，采用REST架构</w:t>
      </w:r>
      <w:r>
        <w:rPr>
          <w:rFonts w:hint="eastAsia" w:ascii="宋体" w:hAnsi="宋体" w:cs="宋体"/>
          <w:szCs w:val="21"/>
        </w:rPr>
        <w:t>风</w:t>
      </w:r>
      <w:r>
        <w:rPr>
          <w:rFonts w:hint="eastAsia" w:ascii="宋体" w:hAnsi="宋体" w:cs="___WRD_EMBED_SUB_44"/>
          <w:szCs w:val="21"/>
        </w:rPr>
        <w:t>格，对于开发、测试、运维人员来说，都会更简单。可以充分利用大量</w:t>
      </w:r>
      <w:r>
        <w:rPr>
          <w:rFonts w:hint="eastAsia" w:ascii="宋体" w:hAnsi="宋体"/>
          <w:szCs w:val="21"/>
        </w:rPr>
        <w:t>HTTP服务器端和客户端开发</w:t>
      </w:r>
      <w:r>
        <w:rPr>
          <w:rFonts w:hint="eastAsia" w:ascii="宋体" w:hAnsi="宋体" w:cs="宋体"/>
          <w:szCs w:val="21"/>
        </w:rPr>
        <w:t>库</w:t>
      </w:r>
      <w:r>
        <w:rPr>
          <w:rFonts w:hint="eastAsia" w:ascii="宋体" w:hAnsi="宋体" w:cs="___WRD_EMBED_SUB_44"/>
          <w:szCs w:val="21"/>
        </w:rPr>
        <w:t>、</w:t>
      </w:r>
      <w:r>
        <w:rPr>
          <w:rFonts w:hint="eastAsia" w:ascii="宋体" w:hAnsi="宋体"/>
          <w:szCs w:val="21"/>
        </w:rPr>
        <w:t>Web功能测试/性能测试工具、HTTP</w:t>
      </w:r>
      <w:r>
        <w:rPr>
          <w:rFonts w:hint="eastAsia" w:ascii="宋体" w:hAnsi="宋体" w:cs="宋体"/>
          <w:szCs w:val="21"/>
        </w:rPr>
        <w:t>缓</w:t>
      </w:r>
      <w:r>
        <w:rPr>
          <w:rFonts w:hint="eastAsia" w:ascii="宋体" w:hAnsi="宋体" w:cs="___WRD_EMBED_SUB_44"/>
          <w:szCs w:val="21"/>
        </w:rPr>
        <w:t>存、</w:t>
      </w:r>
      <w:r>
        <w:rPr>
          <w:rFonts w:hint="eastAsia" w:ascii="宋体" w:hAnsi="宋体"/>
          <w:szCs w:val="21"/>
        </w:rPr>
        <w:t>HTTP代理服务器、</w:t>
      </w:r>
      <w:r>
        <w:rPr>
          <w:rFonts w:hint="eastAsia" w:ascii="宋体" w:hAnsi="宋体" w:cs="宋体"/>
          <w:szCs w:val="21"/>
        </w:rPr>
        <w:t>防火墙</w:t>
      </w:r>
      <w:r>
        <w:rPr>
          <w:rFonts w:hint="eastAsia" w:ascii="宋体" w:hAnsi="宋体" w:cs="___WRD_EMBED_SUB_44"/>
          <w:szCs w:val="21"/>
        </w:rPr>
        <w:t>；可</w:t>
      </w:r>
      <w:r>
        <w:rPr>
          <w:rFonts w:hint="eastAsia" w:ascii="宋体" w:hAnsi="宋体" w:cs="宋体"/>
          <w:szCs w:val="21"/>
        </w:rPr>
        <w:t>伸</w:t>
      </w:r>
      <w:r>
        <w:rPr>
          <w:rFonts w:hint="eastAsia" w:ascii="宋体" w:hAnsi="宋体" w:cs="___WRD_EMBED_SUB_44"/>
          <w:szCs w:val="21"/>
        </w:rPr>
        <w:t>缩性，通信</w:t>
      </w:r>
      <w:r>
        <w:rPr>
          <w:rFonts w:hint="eastAsia" w:ascii="宋体" w:hAnsi="宋体" w:cs="宋体"/>
          <w:szCs w:val="21"/>
        </w:rPr>
        <w:t>链</w:t>
      </w:r>
      <w:r>
        <w:rPr>
          <w:rFonts w:hint="eastAsia" w:ascii="宋体" w:hAnsi="宋体" w:cs="___WRD_EMBED_SUB_44"/>
          <w:szCs w:val="21"/>
        </w:rPr>
        <w:t>各个位置的</w:t>
      </w:r>
      <w:r>
        <w:rPr>
          <w:rFonts w:hint="eastAsia" w:ascii="宋体" w:hAnsi="宋体"/>
          <w:szCs w:val="21"/>
        </w:rPr>
        <w:t>HTTP</w:t>
      </w:r>
      <w:r>
        <w:rPr>
          <w:rFonts w:hint="eastAsia" w:ascii="宋体" w:hAnsi="宋体" w:cs="宋体"/>
          <w:szCs w:val="21"/>
        </w:rPr>
        <w:t>缓</w:t>
      </w:r>
      <w:r>
        <w:rPr>
          <w:rFonts w:hint="eastAsia" w:ascii="宋体" w:hAnsi="宋体" w:cs="___WRD_EMBED_SUB_44"/>
          <w:szCs w:val="21"/>
        </w:rPr>
        <w:t>存组件，可以</w:t>
      </w:r>
      <w:r>
        <w:rPr>
          <w:rFonts w:hint="eastAsia" w:ascii="宋体" w:hAnsi="宋体" w:cs="宋体"/>
          <w:szCs w:val="21"/>
        </w:rPr>
        <w:t>带</w:t>
      </w:r>
      <w:r>
        <w:rPr>
          <w:rFonts w:hint="eastAsia" w:ascii="宋体" w:hAnsi="宋体" w:cs="___WRD_EMBED_SUB_44"/>
          <w:szCs w:val="21"/>
        </w:rPr>
        <w:t>来更好的可</w:t>
      </w:r>
      <w:r>
        <w:rPr>
          <w:rFonts w:hint="eastAsia" w:ascii="宋体" w:hAnsi="宋体" w:cs="宋体"/>
          <w:szCs w:val="21"/>
        </w:rPr>
        <w:t>伸</w:t>
      </w:r>
      <w:r>
        <w:rPr>
          <w:rFonts w:hint="eastAsia" w:ascii="宋体" w:hAnsi="宋体" w:cs="___WRD_EMBED_SUB_44"/>
          <w:szCs w:val="21"/>
        </w:rPr>
        <w:t>缩性；</w:t>
      </w:r>
      <w:r>
        <w:rPr>
          <w:rFonts w:hint="eastAsia" w:ascii="宋体" w:hAnsi="宋体" w:cs="宋体"/>
          <w:szCs w:val="21"/>
        </w:rPr>
        <w:t>松耦</w:t>
      </w:r>
      <w:r>
        <w:rPr>
          <w:rFonts w:hint="eastAsia" w:ascii="宋体" w:hAnsi="宋体" w:cs="___WRD_EMBED_SUB_44"/>
          <w:szCs w:val="21"/>
        </w:rPr>
        <w:t>合，统一接</w:t>
      </w:r>
      <w:r>
        <w:rPr>
          <w:rFonts w:hint="eastAsia" w:ascii="宋体" w:hAnsi="宋体" w:cs="宋体"/>
          <w:szCs w:val="21"/>
        </w:rPr>
        <w:t>口</w:t>
      </w:r>
      <w:r>
        <w:rPr>
          <w:rFonts w:hint="eastAsia" w:ascii="宋体" w:hAnsi="宋体"/>
          <w:szCs w:val="21"/>
        </w:rPr>
        <w:t>+超文本</w:t>
      </w:r>
      <w:r>
        <w:rPr>
          <w:rFonts w:hint="eastAsia" w:ascii="宋体" w:hAnsi="宋体" w:cs="宋体"/>
          <w:szCs w:val="21"/>
        </w:rPr>
        <w:t>驱</w:t>
      </w:r>
      <w:r>
        <w:rPr>
          <w:rFonts w:hint="eastAsia" w:ascii="宋体" w:hAnsi="宋体" w:cs="___WRD_EMBED_SUB_44"/>
          <w:szCs w:val="21"/>
        </w:rPr>
        <w:t>动，</w:t>
      </w:r>
      <w:r>
        <w:rPr>
          <w:rFonts w:hint="eastAsia" w:ascii="宋体" w:hAnsi="宋体" w:cs="宋体"/>
          <w:szCs w:val="21"/>
        </w:rPr>
        <w:t>带</w:t>
      </w:r>
      <w:r>
        <w:rPr>
          <w:rFonts w:hint="eastAsia" w:ascii="宋体" w:hAnsi="宋体" w:cs="___WRD_EMBED_SUB_44"/>
          <w:szCs w:val="21"/>
        </w:rPr>
        <w:t>来了最大限度的</w:t>
      </w:r>
      <w:r>
        <w:rPr>
          <w:rFonts w:hint="eastAsia" w:ascii="宋体" w:hAnsi="宋体" w:cs="宋体"/>
          <w:szCs w:val="21"/>
        </w:rPr>
        <w:t>松耦</w:t>
      </w:r>
      <w:r>
        <w:rPr>
          <w:rFonts w:hint="eastAsia" w:ascii="宋体" w:hAnsi="宋体" w:cs="___WRD_EMBED_SUB_44"/>
          <w:szCs w:val="21"/>
        </w:rPr>
        <w:t>合，特别是设计面</w:t>
      </w:r>
      <w:r>
        <w:rPr>
          <w:rFonts w:hint="eastAsia" w:ascii="宋体" w:hAnsi="宋体"/>
          <w:szCs w:val="21"/>
        </w:rPr>
        <w:t>向互联网的API来说，</w:t>
      </w:r>
      <w:r>
        <w:rPr>
          <w:rFonts w:hint="eastAsia" w:ascii="宋体" w:hAnsi="宋体" w:cs="宋体"/>
          <w:szCs w:val="21"/>
        </w:rPr>
        <w:t>松耦</w:t>
      </w:r>
      <w:r>
        <w:rPr>
          <w:rFonts w:hint="eastAsia" w:ascii="宋体" w:hAnsi="宋体" w:cs="___WRD_EMBED_SUB_44"/>
          <w:szCs w:val="21"/>
        </w:rPr>
        <w:t>合变成了一个必选项。理论上</w:t>
      </w:r>
      <w:r>
        <w:rPr>
          <w:rFonts w:hint="eastAsia" w:ascii="宋体" w:hAnsi="宋体"/>
          <w:szCs w:val="21"/>
        </w:rPr>
        <w:t>REST架构</w:t>
      </w:r>
      <w:r>
        <w:rPr>
          <w:rFonts w:hint="eastAsia" w:ascii="宋体" w:hAnsi="宋体" w:cs="宋体"/>
          <w:szCs w:val="21"/>
        </w:rPr>
        <w:t>风</w:t>
      </w:r>
      <w:r>
        <w:rPr>
          <w:rFonts w:hint="eastAsia" w:ascii="宋体" w:hAnsi="宋体" w:cs="___WRD_EMBED_SUB_44"/>
          <w:szCs w:val="21"/>
        </w:rPr>
        <w:t>格并不是</w:t>
      </w:r>
      <w:r>
        <w:rPr>
          <w:rFonts w:hint="eastAsia" w:ascii="宋体" w:hAnsi="宋体" w:cs="宋体"/>
          <w:szCs w:val="21"/>
        </w:rPr>
        <w:t>绑</w:t>
      </w:r>
      <w:r>
        <w:rPr>
          <w:rFonts w:hint="eastAsia" w:ascii="宋体" w:hAnsi="宋体" w:cs="___WRD_EMBED_SUB_44"/>
          <w:szCs w:val="21"/>
        </w:rPr>
        <w:t>定在</w:t>
      </w:r>
      <w:r>
        <w:rPr>
          <w:rFonts w:hint="eastAsia" w:ascii="宋体" w:hAnsi="宋体"/>
          <w:szCs w:val="21"/>
        </w:rPr>
        <w:t>HTTP上，但本项目为满足</w:t>
      </w:r>
      <w:r>
        <w:rPr>
          <w:rFonts w:hint="eastAsia" w:ascii="宋体" w:hAnsi="宋体" w:cs="宋体"/>
          <w:szCs w:val="21"/>
        </w:rPr>
        <w:t>泛</w:t>
      </w:r>
      <w:r>
        <w:rPr>
          <w:rFonts w:hint="eastAsia" w:ascii="宋体" w:hAnsi="宋体" w:cs="___WRD_EMBED_SUB_44"/>
          <w:szCs w:val="21"/>
        </w:rPr>
        <w:t>在</w:t>
      </w:r>
      <w:r>
        <w:rPr>
          <w:rFonts w:hint="eastAsia" w:ascii="宋体" w:hAnsi="宋体" w:cs="宋体"/>
          <w:szCs w:val="21"/>
        </w:rPr>
        <w:t>物</w:t>
      </w:r>
      <w:r>
        <w:rPr>
          <w:rFonts w:hint="eastAsia" w:ascii="宋体" w:hAnsi="宋体" w:cs="___WRD_EMBED_SUB_44"/>
          <w:szCs w:val="21"/>
        </w:rPr>
        <w:t>联网发展需求，主要服务均</w:t>
      </w:r>
      <w:r>
        <w:rPr>
          <w:rFonts w:hint="eastAsia" w:ascii="宋体" w:hAnsi="宋体" w:cs="宋体"/>
          <w:szCs w:val="21"/>
        </w:rPr>
        <w:t>搭</w:t>
      </w:r>
      <w:r>
        <w:rPr>
          <w:rFonts w:hint="eastAsia" w:ascii="宋体" w:hAnsi="宋体" w:cs="___WRD_EMBED_SUB_44"/>
          <w:szCs w:val="21"/>
        </w:rPr>
        <w:t>建于</w:t>
      </w:r>
      <w:r>
        <w:rPr>
          <w:rFonts w:hint="eastAsia" w:ascii="宋体" w:hAnsi="宋体"/>
          <w:szCs w:val="21"/>
        </w:rPr>
        <w:t>HTTP/HTTPS上。项目RESTful服务可按微服务部署，微服务部署架构作为分布式、集</w:t>
      </w:r>
      <w:r>
        <w:rPr>
          <w:rFonts w:hint="eastAsia" w:ascii="宋体" w:hAnsi="宋体" w:cs="宋体"/>
          <w:szCs w:val="21"/>
        </w:rPr>
        <w:t>群</w:t>
      </w:r>
      <w:r>
        <w:rPr>
          <w:rFonts w:hint="eastAsia" w:ascii="宋体" w:hAnsi="宋体" w:cs="___WRD_EMBED_SUB_44"/>
          <w:szCs w:val="21"/>
        </w:rPr>
        <w:t>的综合体，它将单一应用程序划分成一组小的服务，服务之间相互协调、互相配合，为用户提供最终价值。微服务部署的</w:t>
      </w:r>
      <w:r>
        <w:rPr>
          <w:rFonts w:hint="eastAsia" w:ascii="宋体" w:hAnsi="宋体"/>
          <w:szCs w:val="21"/>
        </w:rPr>
        <w:t>RESTful构架如下图所示：</w:t>
      </w:r>
    </w:p>
    <w:p>
      <w:pPr>
        <w:pStyle w:val="31"/>
        <w:spacing w:line="360" w:lineRule="auto"/>
        <w:ind w:firstLine="420"/>
        <w:jc w:val="center"/>
        <w:rPr>
          <w:rFonts w:ascii="宋体" w:hAnsi="宋体"/>
        </w:rPr>
      </w:pPr>
      <w:r>
        <w:rPr>
          <w:rFonts w:ascii="宋体" w:hAnsi="宋体"/>
        </w:rPr>
        <w:object>
          <v:shape id="_x0000_i1026" o:spt="75" type="#_x0000_t75" style="height:256.1pt;width:275.25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r:id="rId13">
            <o:LockedField>false</o:LockedField>
          </o:OLEObject>
        </w:object>
      </w:r>
    </w:p>
    <w:p>
      <w:pPr>
        <w:pStyle w:val="31"/>
        <w:spacing w:line="360" w:lineRule="auto"/>
        <w:ind w:firstLine="420"/>
        <w:jc w:val="center"/>
        <w:rPr>
          <w:rFonts w:ascii="宋体" w:hAnsi="宋体"/>
          <w:szCs w:val="21"/>
        </w:rPr>
      </w:pPr>
      <w:r>
        <w:rPr>
          <w:rFonts w:hint="eastAsia" w:ascii="宋体" w:hAnsi="宋体"/>
        </w:rPr>
        <w:t>软件应用构架</w:t>
      </w:r>
    </w:p>
    <w:p>
      <w:pPr>
        <w:pStyle w:val="31"/>
        <w:spacing w:line="360" w:lineRule="auto"/>
        <w:ind w:firstLine="420"/>
        <w:rPr>
          <w:rFonts w:ascii="宋体" w:hAnsi="宋体"/>
          <w:szCs w:val="21"/>
        </w:rPr>
      </w:pPr>
      <w:r>
        <w:rPr>
          <w:rFonts w:hint="eastAsia" w:ascii="宋体" w:hAnsi="宋体"/>
          <w:szCs w:val="21"/>
        </w:rPr>
        <w:t>每个服务都围</w:t>
      </w:r>
      <w:r>
        <w:rPr>
          <w:rFonts w:hint="eastAsia" w:ascii="宋体" w:hAnsi="宋体" w:cs="宋体"/>
          <w:szCs w:val="21"/>
        </w:rPr>
        <w:t>绕</w:t>
      </w:r>
      <w:r>
        <w:rPr>
          <w:rFonts w:hint="eastAsia" w:ascii="宋体" w:hAnsi="宋体" w:cs="___WRD_EMBED_SUB_44"/>
          <w:szCs w:val="21"/>
        </w:rPr>
        <w:t>着具体的业务进行构建，并且能够被</w:t>
      </w:r>
      <w:r>
        <w:rPr>
          <w:rFonts w:hint="eastAsia" w:ascii="宋体" w:hAnsi="宋体" w:cs="宋体"/>
          <w:szCs w:val="21"/>
        </w:rPr>
        <w:t>独</w:t>
      </w:r>
      <w:r>
        <w:rPr>
          <w:rFonts w:hint="eastAsia" w:ascii="宋体" w:hAnsi="宋体" w:cs="___WRD_EMBED_SUB_44"/>
          <w:szCs w:val="21"/>
        </w:rPr>
        <w:t>立部署到生产环</w:t>
      </w:r>
      <w:r>
        <w:rPr>
          <w:rFonts w:hint="eastAsia" w:ascii="宋体" w:hAnsi="宋体" w:cs="宋体"/>
          <w:szCs w:val="21"/>
        </w:rPr>
        <w:t>境</w:t>
      </w:r>
      <w:r>
        <w:rPr>
          <w:rFonts w:hint="eastAsia" w:ascii="宋体" w:hAnsi="宋体" w:cs="___WRD_EMBED_SUB_44"/>
          <w:szCs w:val="21"/>
        </w:rPr>
        <w:t>、类生产环</w:t>
      </w:r>
      <w:r>
        <w:rPr>
          <w:rFonts w:hint="eastAsia" w:ascii="宋体" w:hAnsi="宋体" w:cs="宋体"/>
          <w:szCs w:val="21"/>
        </w:rPr>
        <w:t>境</w:t>
      </w:r>
      <w:r>
        <w:rPr>
          <w:rFonts w:hint="eastAsia" w:ascii="宋体" w:hAnsi="宋体" w:cs="___WRD_EMBED_SUB_44"/>
          <w:szCs w:val="21"/>
        </w:rPr>
        <w:t>等</w:t>
      </w:r>
      <w:r>
        <w:rPr>
          <w:rFonts w:hint="eastAsia" w:ascii="宋体" w:hAnsi="宋体"/>
          <w:szCs w:val="21"/>
        </w:rPr>
        <w:t>, 有很强的功能</w:t>
      </w:r>
      <w:r>
        <w:rPr>
          <w:rFonts w:hint="eastAsia" w:ascii="宋体" w:hAnsi="宋体" w:cs="宋体"/>
          <w:szCs w:val="21"/>
        </w:rPr>
        <w:t>扩</w:t>
      </w:r>
      <w:r>
        <w:rPr>
          <w:rFonts w:hint="eastAsia" w:ascii="宋体" w:hAnsi="宋体" w:cs="___WRD_EMBED_SUB_44"/>
          <w:szCs w:val="21"/>
        </w:rPr>
        <w:t>展性和集</w:t>
      </w:r>
      <w:r>
        <w:rPr>
          <w:rFonts w:hint="eastAsia" w:ascii="宋体" w:hAnsi="宋体" w:cs="宋体"/>
          <w:szCs w:val="21"/>
        </w:rPr>
        <w:t>群</w:t>
      </w:r>
      <w:r>
        <w:rPr>
          <w:rFonts w:hint="eastAsia" w:ascii="宋体" w:hAnsi="宋体" w:cs="___WRD_EMBED_SUB_44"/>
          <w:szCs w:val="21"/>
        </w:rPr>
        <w:t>下服务的负</w:t>
      </w:r>
      <w:r>
        <w:rPr>
          <w:rFonts w:hint="eastAsia" w:ascii="宋体" w:hAnsi="宋体" w:cs="宋体"/>
          <w:szCs w:val="21"/>
        </w:rPr>
        <w:t>载</w:t>
      </w:r>
      <w:r>
        <w:rPr>
          <w:rFonts w:hint="eastAsia" w:ascii="宋体" w:hAnsi="宋体" w:cs="___WRD_EMBED_SUB_44"/>
          <w:szCs w:val="21"/>
        </w:rPr>
        <w:t>均</w:t>
      </w:r>
      <w:r>
        <w:rPr>
          <w:rFonts w:hint="eastAsia" w:ascii="宋体" w:hAnsi="宋体" w:cs="宋体"/>
          <w:szCs w:val="21"/>
        </w:rPr>
        <w:t>衡</w:t>
      </w:r>
      <w:r>
        <w:rPr>
          <w:rFonts w:hint="eastAsia" w:ascii="宋体" w:hAnsi="宋体" w:cs="___WRD_EMBED_SUB_44"/>
          <w:szCs w:val="21"/>
        </w:rPr>
        <w:t>。项目服务使用</w:t>
      </w:r>
      <w:r>
        <w:rPr>
          <w:rFonts w:hint="eastAsia" w:ascii="宋体" w:hAnsi="宋体"/>
          <w:szCs w:val="21"/>
        </w:rPr>
        <w:t>NodeJS 技术实现，Node 使用</w:t>
      </w:r>
      <w:r>
        <w:fldChar w:fldCharType="begin"/>
      </w:r>
      <w:r>
        <w:instrText xml:space="preserve"> HYPERLINK "https://baike.baidu.com/item/%E4%BA%8B%E4%BB%B6%E9%A9%B1%E5%8A%A8/9597519" \t "_blank" </w:instrText>
      </w:r>
      <w:r>
        <w:fldChar w:fldCharType="separate"/>
      </w:r>
      <w:r>
        <w:rPr>
          <w:rStyle w:val="16"/>
          <w:rFonts w:hint="eastAsia" w:ascii="宋体" w:hAnsi="宋体"/>
          <w:color w:val="auto"/>
          <w:szCs w:val="21"/>
          <w:u w:val="none"/>
        </w:rPr>
        <w:t>事件</w:t>
      </w:r>
      <w:r>
        <w:rPr>
          <w:rStyle w:val="16"/>
          <w:rFonts w:hint="eastAsia" w:ascii="宋体" w:hAnsi="宋体" w:cs="宋体"/>
          <w:color w:val="auto"/>
          <w:szCs w:val="21"/>
          <w:u w:val="none"/>
        </w:rPr>
        <w:t>驱</w:t>
      </w:r>
      <w:r>
        <w:rPr>
          <w:rStyle w:val="16"/>
          <w:rFonts w:hint="eastAsia" w:ascii="宋体" w:hAnsi="宋体" w:cs="___WRD_EMBED_SUB_44"/>
          <w:color w:val="auto"/>
          <w:szCs w:val="21"/>
          <w:u w:val="none"/>
        </w:rPr>
        <w:t>动</w:t>
      </w:r>
      <w:r>
        <w:rPr>
          <w:rStyle w:val="16"/>
          <w:rFonts w:hint="eastAsia" w:ascii="宋体" w:hAnsi="宋体" w:cs="___WRD_EMBED_SUB_44"/>
          <w:color w:val="auto"/>
          <w:szCs w:val="21"/>
          <w:u w:val="none"/>
        </w:rPr>
        <w:fldChar w:fldCharType="end"/>
      </w:r>
      <w:r>
        <w:rPr>
          <w:rFonts w:hint="eastAsia" w:ascii="宋体" w:hAnsi="宋体"/>
          <w:szCs w:val="21"/>
        </w:rPr>
        <w:t>， 非</w:t>
      </w:r>
      <w:r>
        <w:rPr>
          <w:rFonts w:hint="eastAsia" w:ascii="宋体" w:hAnsi="宋体" w:cs="宋体"/>
          <w:szCs w:val="21"/>
        </w:rPr>
        <w:t>阻塞</w:t>
      </w:r>
      <w:r>
        <w:fldChar w:fldCharType="begin"/>
      </w:r>
      <w:r>
        <w:instrText xml:space="preserve"> HYPERLINK "https://baike.baidu.com/item/I%2FO/84718" \t "_blank" </w:instrText>
      </w:r>
      <w:r>
        <w:fldChar w:fldCharType="separate"/>
      </w:r>
      <w:r>
        <w:rPr>
          <w:rStyle w:val="16"/>
          <w:rFonts w:hint="eastAsia" w:ascii="宋体" w:hAnsi="宋体"/>
          <w:color w:val="auto"/>
          <w:szCs w:val="21"/>
        </w:rPr>
        <w:t>I/O</w:t>
      </w:r>
      <w:r>
        <w:rPr>
          <w:rStyle w:val="16"/>
          <w:rFonts w:hint="eastAsia" w:ascii="宋体" w:hAnsi="宋体"/>
          <w:color w:val="auto"/>
          <w:szCs w:val="21"/>
        </w:rPr>
        <w:fldChar w:fldCharType="end"/>
      </w:r>
      <w:r>
        <w:rPr>
          <w:rFonts w:hint="eastAsia" w:ascii="宋体" w:hAnsi="宋体"/>
          <w:szCs w:val="21"/>
        </w:rPr>
        <w:t xml:space="preserve"> 模型而得以轻量和高效，非常适合在分布式设备上运行数据</w:t>
      </w:r>
      <w:r>
        <w:rPr>
          <w:rFonts w:hint="eastAsia" w:ascii="宋体" w:hAnsi="宋体" w:cs="宋体"/>
          <w:szCs w:val="21"/>
        </w:rPr>
        <w:t>密</w:t>
      </w:r>
      <w:r>
        <w:rPr>
          <w:rFonts w:hint="eastAsia" w:ascii="宋体" w:hAnsi="宋体" w:cs="___WRD_EMBED_SUB_44"/>
          <w:szCs w:val="21"/>
        </w:rPr>
        <w:t>集型的实时应用，具有较强的先进性。</w:t>
      </w:r>
    </w:p>
    <w:p>
      <w:pPr>
        <w:pStyle w:val="31"/>
        <w:spacing w:line="360" w:lineRule="auto"/>
        <w:ind w:firstLine="420"/>
        <w:rPr>
          <w:rFonts w:ascii="宋体" w:hAnsi="宋体"/>
          <w:szCs w:val="21"/>
        </w:rPr>
      </w:pPr>
      <w:r>
        <w:rPr>
          <w:rFonts w:hint="eastAsia" w:ascii="宋体" w:hAnsi="宋体"/>
          <w:szCs w:val="21"/>
        </w:rPr>
        <w:t>项目三维可视化系统平台实现了高精度的建筑、开关柜设备一体化</w:t>
      </w:r>
      <w:r>
        <w:rPr>
          <w:rFonts w:hint="eastAsia" w:ascii="宋体" w:hAnsi="宋体" w:cs="宋体"/>
          <w:szCs w:val="21"/>
        </w:rPr>
        <w:t>融</w:t>
      </w:r>
      <w:r>
        <w:rPr>
          <w:rFonts w:hint="eastAsia" w:ascii="宋体" w:hAnsi="宋体" w:cs="___WRD_EMBED_SUB_44"/>
          <w:szCs w:val="21"/>
        </w:rPr>
        <w:t>合，具较强的创新性。三维可视化系统平台采用</w:t>
      </w:r>
      <w:r>
        <w:rPr>
          <w:rFonts w:hint="eastAsia" w:ascii="宋体" w:hAnsi="宋体"/>
          <w:szCs w:val="21"/>
        </w:rPr>
        <w:t>HTML5技术实现。HTML5本身是由W3C推</w:t>
      </w:r>
      <w:r>
        <w:rPr>
          <w:rFonts w:hint="eastAsia" w:ascii="宋体" w:hAnsi="宋体" w:cs="宋体"/>
          <w:szCs w:val="21"/>
        </w:rPr>
        <w:t>荐</w:t>
      </w:r>
      <w:r>
        <w:rPr>
          <w:rFonts w:hint="eastAsia" w:ascii="宋体" w:hAnsi="宋体" w:cs="___WRD_EMBED_SUB_44"/>
          <w:szCs w:val="21"/>
        </w:rPr>
        <w:t>而来，可以进行</w:t>
      </w:r>
      <w:r>
        <w:rPr>
          <w:rFonts w:hint="eastAsia" w:ascii="宋体" w:hAnsi="宋体" w:cs="宋体"/>
          <w:szCs w:val="21"/>
        </w:rPr>
        <w:t>跨</w:t>
      </w:r>
      <w:r>
        <w:rPr>
          <w:rFonts w:hint="eastAsia" w:ascii="宋体" w:hAnsi="宋体" w:cs="___WRD_EMBED_SUB_44"/>
          <w:szCs w:val="21"/>
        </w:rPr>
        <w:t>平台的使用，它在</w:t>
      </w:r>
      <w:r>
        <w:rPr>
          <w:rFonts w:hint="eastAsia" w:ascii="宋体" w:hAnsi="宋体"/>
          <w:szCs w:val="21"/>
        </w:rPr>
        <w:t>HTML基础上增加了图形的</w:t>
      </w:r>
      <w:r>
        <w:rPr>
          <w:rFonts w:hint="eastAsia" w:ascii="宋体" w:hAnsi="宋体" w:cs="宋体"/>
          <w:szCs w:val="21"/>
        </w:rPr>
        <w:t>绘</w:t>
      </w:r>
      <w:r>
        <w:rPr>
          <w:rFonts w:hint="eastAsia" w:ascii="宋体" w:hAnsi="宋体" w:cs="___WRD_EMBED_SUB_44"/>
          <w:szCs w:val="21"/>
        </w:rPr>
        <w:t>制、多</w:t>
      </w:r>
      <w:r>
        <w:rPr>
          <w:rFonts w:hint="eastAsia" w:ascii="宋体" w:hAnsi="宋体" w:cs="宋体"/>
          <w:szCs w:val="21"/>
        </w:rPr>
        <w:t>媒</w:t>
      </w:r>
      <w:r>
        <w:rPr>
          <w:rFonts w:hint="eastAsia" w:ascii="宋体" w:hAnsi="宋体" w:cs="___WRD_EMBED_SUB_44"/>
          <w:szCs w:val="21"/>
        </w:rPr>
        <w:t>体内容原生应用，加上网</w:t>
      </w:r>
      <w:r>
        <w:rPr>
          <w:rFonts w:hint="eastAsia" w:ascii="宋体" w:hAnsi="宋体" w:cs="宋体"/>
          <w:szCs w:val="21"/>
        </w:rPr>
        <w:t>页</w:t>
      </w:r>
      <w:r>
        <w:rPr>
          <w:rFonts w:hint="eastAsia" w:ascii="宋体" w:hAnsi="宋体" w:cs="___WRD_EMBED_SUB_44"/>
          <w:szCs w:val="21"/>
        </w:rPr>
        <w:t>应用程序</w:t>
      </w:r>
      <w:r>
        <w:rPr>
          <w:rFonts w:hint="eastAsia" w:ascii="宋体" w:hAnsi="宋体" w:cs="宋体"/>
          <w:szCs w:val="21"/>
        </w:rPr>
        <w:t>缓</w:t>
      </w:r>
      <w:r>
        <w:rPr>
          <w:rFonts w:hint="eastAsia" w:ascii="宋体" w:hAnsi="宋体" w:cs="___WRD_EMBED_SUB_44"/>
          <w:szCs w:val="21"/>
        </w:rPr>
        <w:t>存和存</w:t>
      </w:r>
      <w:r>
        <w:rPr>
          <w:rFonts w:hint="eastAsia" w:ascii="宋体" w:hAnsi="宋体" w:cs="宋体"/>
          <w:szCs w:val="21"/>
        </w:rPr>
        <w:t>储</w:t>
      </w:r>
      <w:r>
        <w:rPr>
          <w:rFonts w:hint="eastAsia" w:ascii="宋体" w:hAnsi="宋体" w:cs="___WRD_EMBED_SUB_44"/>
          <w:szCs w:val="21"/>
        </w:rPr>
        <w:t>，更好的满足了</w:t>
      </w:r>
      <w:r>
        <w:rPr>
          <w:rFonts w:hint="eastAsia" w:ascii="宋体" w:hAnsi="宋体" w:cs="宋体"/>
          <w:szCs w:val="21"/>
        </w:rPr>
        <w:t>今天</w:t>
      </w:r>
      <w:r>
        <w:rPr>
          <w:rFonts w:hint="eastAsia" w:ascii="宋体" w:hAnsi="宋体" w:cs="___WRD_EMBED_SUB_44"/>
          <w:szCs w:val="21"/>
        </w:rPr>
        <w:t>的</w:t>
      </w:r>
      <w:r>
        <w:rPr>
          <w:rFonts w:hint="eastAsia" w:ascii="宋体" w:hAnsi="宋体" w:cs="宋体"/>
          <w:szCs w:val="21"/>
        </w:rPr>
        <w:t>泛</w:t>
      </w:r>
      <w:r>
        <w:rPr>
          <w:rFonts w:hint="eastAsia" w:ascii="宋体" w:hAnsi="宋体" w:cs="___WRD_EMBED_SUB_44"/>
          <w:szCs w:val="21"/>
        </w:rPr>
        <w:t>在互联网应用需求。三维可视化部分正是利用了</w:t>
      </w:r>
      <w:r>
        <w:rPr>
          <w:rFonts w:hint="eastAsia" w:ascii="宋体" w:hAnsi="宋体"/>
          <w:szCs w:val="21"/>
        </w:rPr>
        <w:t>HTML5中的WebGL技术实现，WebGL技术把JavaScript和OpenGL ES 2.0结合在一起，增加OpenGL ES 2.0的一个JavaScript</w:t>
      </w:r>
      <w:r>
        <w:rPr>
          <w:rFonts w:hint="eastAsia" w:ascii="宋体" w:hAnsi="宋体" w:cs="宋体"/>
          <w:szCs w:val="21"/>
        </w:rPr>
        <w:t>绑</w:t>
      </w:r>
      <w:r>
        <w:rPr>
          <w:rFonts w:hint="eastAsia" w:ascii="宋体" w:hAnsi="宋体" w:cs="___WRD_EMBED_SUB_44"/>
          <w:szCs w:val="21"/>
        </w:rPr>
        <w:t>定，</w:t>
      </w:r>
      <w:r>
        <w:rPr>
          <w:rFonts w:hint="eastAsia" w:ascii="宋体" w:hAnsi="宋体"/>
          <w:szCs w:val="21"/>
        </w:rPr>
        <w:t>WebGL可以为HTML5 Canvas提供硬件3D加速</w:t>
      </w:r>
      <w:r>
        <w:rPr>
          <w:rFonts w:hint="eastAsia" w:ascii="宋体" w:hAnsi="宋体" w:cs="宋体"/>
          <w:szCs w:val="21"/>
        </w:rPr>
        <w:t>渲染</w:t>
      </w:r>
      <w:r>
        <w:rPr>
          <w:rFonts w:hint="eastAsia" w:ascii="宋体" w:hAnsi="宋体" w:cs="___WRD_EMBED_SUB_44"/>
          <w:szCs w:val="21"/>
        </w:rPr>
        <w:t>，实现了</w:t>
      </w:r>
      <w:r>
        <w:rPr>
          <w:rFonts w:hint="eastAsia" w:ascii="宋体" w:hAnsi="宋体"/>
          <w:szCs w:val="21"/>
        </w:rPr>
        <w:t>JavaScript在</w:t>
      </w:r>
      <w:r>
        <w:rPr>
          <w:rFonts w:hint="eastAsia" w:ascii="宋体" w:hAnsi="宋体" w:cs="宋体"/>
          <w:szCs w:val="21"/>
        </w:rPr>
        <w:t>浏览</w:t>
      </w:r>
      <w:r>
        <w:rPr>
          <w:rFonts w:hint="eastAsia" w:ascii="宋体" w:hAnsi="宋体" w:cs="___WRD_EMBED_SUB_44"/>
          <w:szCs w:val="21"/>
        </w:rPr>
        <w:t>器中对</w:t>
      </w:r>
      <w:r>
        <w:rPr>
          <w:rFonts w:hint="eastAsia" w:ascii="宋体" w:hAnsi="宋体"/>
          <w:szCs w:val="21"/>
        </w:rPr>
        <w:t>3D硬件</w:t>
      </w:r>
      <w:r>
        <w:rPr>
          <w:rFonts w:hint="eastAsia" w:ascii="宋体" w:hAnsi="宋体" w:cs="宋体"/>
          <w:szCs w:val="21"/>
        </w:rPr>
        <w:t>渲染</w:t>
      </w:r>
      <w:r>
        <w:rPr>
          <w:rFonts w:hint="eastAsia" w:ascii="宋体" w:hAnsi="宋体" w:cs="___WRD_EMBED_SUB_44"/>
          <w:szCs w:val="21"/>
        </w:rPr>
        <w:t>的有效使用。</w:t>
      </w:r>
      <w:r>
        <w:rPr>
          <w:rFonts w:hint="eastAsia" w:ascii="宋体" w:hAnsi="宋体"/>
          <w:szCs w:val="21"/>
        </w:rPr>
        <w:t>OpenGL ES (OpenGL for Embedded Systems) 是 OpenGL 三维图形 API 的</w:t>
      </w:r>
      <w:r>
        <w:rPr>
          <w:rFonts w:hint="eastAsia" w:ascii="宋体" w:hAnsi="宋体" w:cs="宋体"/>
          <w:szCs w:val="21"/>
        </w:rPr>
        <w:t>子</w:t>
      </w:r>
      <w:r>
        <w:rPr>
          <w:rFonts w:hint="eastAsia" w:ascii="宋体" w:hAnsi="宋体" w:cs="___WRD_EMBED_SUB_44"/>
          <w:szCs w:val="21"/>
        </w:rPr>
        <w:t>集，针对</w:t>
      </w:r>
      <w:r>
        <w:rPr>
          <w:rFonts w:hint="eastAsia" w:ascii="宋体" w:hAnsi="宋体" w:cs="宋体"/>
          <w:szCs w:val="21"/>
        </w:rPr>
        <w:t>手</w:t>
      </w:r>
      <w:r>
        <w:rPr>
          <w:rFonts w:hint="eastAsia" w:ascii="宋体" w:hAnsi="宋体" w:cs="___WRD_EMBED_SUB_44"/>
          <w:szCs w:val="21"/>
        </w:rPr>
        <w:t>机、</w:t>
      </w:r>
      <w:r>
        <w:rPr>
          <w:rFonts w:hint="eastAsia" w:ascii="宋体" w:hAnsi="宋体"/>
          <w:szCs w:val="21"/>
        </w:rPr>
        <w:t>PDA和</w:t>
      </w:r>
      <w:r>
        <w:rPr>
          <w:rFonts w:hint="eastAsia" w:ascii="宋体" w:hAnsi="宋体" w:cs="宋体"/>
          <w:szCs w:val="21"/>
        </w:rPr>
        <w:t>游戏</w:t>
      </w:r>
      <w:r>
        <w:rPr>
          <w:rFonts w:hint="eastAsia" w:ascii="宋体" w:hAnsi="宋体" w:cs="___WRD_EMBED_SUB_44"/>
          <w:szCs w:val="21"/>
        </w:rPr>
        <w:t>主机等</w:t>
      </w:r>
      <w:r>
        <w:fldChar w:fldCharType="begin"/>
      </w:r>
      <w:r>
        <w:instrText xml:space="preserve"> HYPERLINK "https://baike.baidu.com/item/%E5%B5%8C%E5%85%A5%E5%BC%8F%E8%AE%BE%E5%A4%87/10055189" </w:instrText>
      </w:r>
      <w:r>
        <w:fldChar w:fldCharType="separate"/>
      </w:r>
      <w:r>
        <w:rPr>
          <w:rStyle w:val="16"/>
          <w:rFonts w:hint="eastAsia" w:ascii="宋体" w:hAnsi="宋体" w:cs="宋体"/>
          <w:color w:val="auto"/>
          <w:szCs w:val="21"/>
        </w:rPr>
        <w:t>嵌</w:t>
      </w:r>
      <w:r>
        <w:rPr>
          <w:rStyle w:val="16"/>
          <w:rFonts w:hint="eastAsia" w:ascii="宋体" w:hAnsi="宋体" w:cs="___WRD_EMBED_SUB_44"/>
          <w:color w:val="auto"/>
          <w:szCs w:val="21"/>
        </w:rPr>
        <w:t>入式设备</w:t>
      </w:r>
      <w:r>
        <w:rPr>
          <w:rStyle w:val="16"/>
          <w:rFonts w:hint="eastAsia" w:ascii="宋体" w:hAnsi="宋体" w:cs="___WRD_EMBED_SUB_44"/>
          <w:color w:val="auto"/>
          <w:szCs w:val="21"/>
        </w:rPr>
        <w:fldChar w:fldCharType="end"/>
      </w:r>
      <w:r>
        <w:rPr>
          <w:rFonts w:hint="eastAsia" w:ascii="宋体" w:hAnsi="宋体"/>
          <w:szCs w:val="21"/>
        </w:rPr>
        <w:t>而设计，WebGL的使用</w:t>
      </w:r>
      <w:r>
        <w:rPr>
          <w:rFonts w:hint="eastAsia" w:ascii="宋体" w:hAnsi="宋体" w:cs="宋体"/>
          <w:szCs w:val="21"/>
        </w:rPr>
        <w:t>让</w:t>
      </w:r>
      <w:r>
        <w:rPr>
          <w:rFonts w:hint="eastAsia" w:ascii="宋体" w:hAnsi="宋体" w:cs="___WRD_EMBED_SUB_44"/>
          <w:szCs w:val="21"/>
        </w:rPr>
        <w:t>在网</w:t>
      </w:r>
      <w:r>
        <w:rPr>
          <w:rFonts w:hint="eastAsia" w:ascii="宋体" w:hAnsi="宋体" w:cs="宋体"/>
          <w:szCs w:val="21"/>
        </w:rPr>
        <w:t>页</w:t>
      </w:r>
      <w:r>
        <w:rPr>
          <w:rFonts w:hint="eastAsia" w:ascii="宋体" w:hAnsi="宋体" w:cs="___WRD_EMBED_SUB_44"/>
          <w:szCs w:val="21"/>
        </w:rPr>
        <w:t>和</w:t>
      </w:r>
      <w:r>
        <w:rPr>
          <w:rFonts w:hint="eastAsia" w:ascii="宋体" w:hAnsi="宋体" w:cs="宋体"/>
          <w:szCs w:val="21"/>
        </w:rPr>
        <w:t>移</w:t>
      </w:r>
      <w:r>
        <w:rPr>
          <w:rFonts w:hint="eastAsia" w:ascii="宋体" w:hAnsi="宋体" w:cs="___WRD_EMBED_SUB_44"/>
          <w:szCs w:val="21"/>
        </w:rPr>
        <w:t>动终端上展示复杂</w:t>
      </w:r>
      <w:r>
        <w:rPr>
          <w:rFonts w:hint="eastAsia" w:ascii="宋体" w:hAnsi="宋体"/>
          <w:szCs w:val="21"/>
        </w:rPr>
        <w:t>3D结构成为可能，也是互联网3D图形最新技术应用。</w:t>
      </w:r>
    </w:p>
    <w:p>
      <w:pPr>
        <w:pStyle w:val="31"/>
        <w:spacing w:line="360" w:lineRule="auto"/>
        <w:ind w:firstLine="420"/>
        <w:rPr>
          <w:rFonts w:ascii="宋体" w:hAnsi="宋体"/>
          <w:szCs w:val="21"/>
        </w:rPr>
      </w:pPr>
      <w:r>
        <w:rPr>
          <w:rFonts w:hint="eastAsia" w:ascii="宋体" w:hAnsi="宋体"/>
          <w:szCs w:val="21"/>
        </w:rPr>
        <w:t>项目成果对技术发展的作用及经济效</w:t>
      </w:r>
      <w:r>
        <w:rPr>
          <w:rFonts w:hint="eastAsia" w:ascii="宋体" w:hAnsi="宋体" w:cs="宋体"/>
          <w:szCs w:val="21"/>
        </w:rPr>
        <w:t>益</w:t>
      </w:r>
      <w:r>
        <w:rPr>
          <w:rFonts w:hint="eastAsia" w:ascii="宋体" w:hAnsi="宋体" w:cs="___WRD_EMBED_SUB_44"/>
          <w:szCs w:val="21"/>
        </w:rPr>
        <w:t>：</w:t>
      </w:r>
    </w:p>
    <w:p>
      <w:pPr>
        <w:pStyle w:val="31"/>
        <w:spacing w:line="360" w:lineRule="auto"/>
        <w:ind w:firstLine="420"/>
        <w:rPr>
          <w:rFonts w:ascii="宋体" w:hAnsi="宋体"/>
          <w:szCs w:val="21"/>
        </w:rPr>
      </w:pPr>
      <w:r>
        <w:rPr>
          <w:rFonts w:hint="eastAsia" w:ascii="宋体" w:hAnsi="宋体"/>
          <w:szCs w:val="21"/>
        </w:rPr>
        <w:t xml:space="preserve">项目通过对封闭式开关柜实时状态进行监测分析和告警，可以较少财产损失以及人员伤亡情况，对事故进行追溯，协助定位问题原因，减少再次发生该类问题的风险。 </w:t>
      </w:r>
    </w:p>
    <w:p>
      <w:pPr>
        <w:pStyle w:val="31"/>
        <w:spacing w:line="360" w:lineRule="auto"/>
        <w:ind w:firstLine="420"/>
        <w:rPr>
          <w:rFonts w:ascii="宋体" w:hAnsi="宋体"/>
          <w:szCs w:val="21"/>
        </w:rPr>
      </w:pPr>
      <w:r>
        <w:rPr>
          <w:rFonts w:hint="eastAsia" w:ascii="宋体" w:hAnsi="宋体"/>
          <w:szCs w:val="21"/>
        </w:rPr>
        <w:t>项目基于现有高压开关柜触头温度、局放、机械特性、红外成像等状态监测传感器问题出发，结合开关柜现场工况环境，分别从传感器稳定性、施工安装以及应用等方面进行改造和技术升级，对于开关柜内部强电磁场环境可能导致电子产品工作异常、通信中断等问题。在本项目中，采用支持自愈功能的环网通信技术解决这个问题，为封闭式电力设备的监测传感器技术进行了有益的探索。</w:t>
      </w:r>
    </w:p>
    <w:p>
      <w:pPr>
        <w:pStyle w:val="31"/>
        <w:spacing w:line="360" w:lineRule="auto"/>
        <w:ind w:firstLine="420"/>
        <w:rPr>
          <w:rFonts w:ascii="宋体" w:hAnsi="宋体"/>
          <w:szCs w:val="21"/>
        </w:rPr>
      </w:pPr>
      <w:r>
        <w:rPr>
          <w:rFonts w:hint="eastAsia" w:ascii="宋体" w:hAnsi="宋体"/>
          <w:szCs w:val="21"/>
        </w:rPr>
        <w:t>本项目针对变电站封闭式开关柜运行状态进行监测，以WebGL三维技术、无线传感技术和图</w:t>
      </w:r>
      <w:r>
        <w:rPr>
          <w:rFonts w:hint="eastAsia" w:ascii="宋体" w:hAnsi="宋体" w:cs="宋体"/>
          <w:szCs w:val="21"/>
        </w:rPr>
        <w:t>像</w:t>
      </w:r>
      <w:r>
        <w:rPr>
          <w:rFonts w:hint="eastAsia" w:ascii="宋体" w:hAnsi="宋体" w:cs="___WRD_EMBED_SUB_44"/>
          <w:szCs w:val="21"/>
        </w:rPr>
        <w:t>识别技术为基础，构建封闭式开关柜实时状态监测、防控以及事故追溯一体化解决方方案，可全方面提升开关柜的运行质量。</w:t>
      </w:r>
      <w:r>
        <w:rPr>
          <w:rFonts w:hint="eastAsia" w:ascii="宋体" w:hAnsi="宋体" w:cs="宋体"/>
          <w:szCs w:val="21"/>
        </w:rPr>
        <w:t>贯彻落</w:t>
      </w:r>
      <w:r>
        <w:rPr>
          <w:rFonts w:hint="eastAsia" w:ascii="宋体" w:hAnsi="宋体" w:cs="___WRD_EMBED_SUB_44"/>
          <w:szCs w:val="21"/>
        </w:rPr>
        <w:t>实</w:t>
      </w:r>
      <w:r>
        <w:rPr>
          <w:rFonts w:hint="eastAsia" w:ascii="宋体" w:hAnsi="宋体"/>
          <w:szCs w:val="21"/>
        </w:rPr>
        <w:t>2019年国家电网公司 “两会”工作部署，围</w:t>
      </w:r>
      <w:r>
        <w:rPr>
          <w:rFonts w:hint="eastAsia" w:ascii="宋体" w:hAnsi="宋体" w:cs="宋体"/>
          <w:szCs w:val="21"/>
        </w:rPr>
        <w:t>绕</w:t>
      </w:r>
      <w:r>
        <w:rPr>
          <w:rFonts w:hint="eastAsia" w:ascii="宋体" w:hAnsi="宋体" w:cs="___WRD_EMBED_SUB_44"/>
          <w:szCs w:val="21"/>
        </w:rPr>
        <w:t>“三型两网”</w:t>
      </w:r>
      <w:r>
        <w:rPr>
          <w:rFonts w:hint="eastAsia" w:ascii="宋体" w:hAnsi="宋体" w:cs="宋体"/>
          <w:szCs w:val="21"/>
        </w:rPr>
        <w:t>世</w:t>
      </w:r>
      <w:r>
        <w:rPr>
          <w:rFonts w:hint="eastAsia" w:ascii="宋体" w:hAnsi="宋体" w:cs="___WRD_EMBED_SUB_44"/>
          <w:szCs w:val="21"/>
        </w:rPr>
        <w:t>界一流能源互联网企业建设要求，加</w:t>
      </w:r>
      <w:r>
        <w:rPr>
          <w:rFonts w:hint="eastAsia" w:ascii="宋体" w:hAnsi="宋体" w:cs="宋体"/>
          <w:szCs w:val="21"/>
        </w:rPr>
        <w:t>快泛</w:t>
      </w:r>
      <w:r>
        <w:rPr>
          <w:rFonts w:hint="eastAsia" w:ascii="宋体" w:hAnsi="宋体" w:cs="___WRD_EMBED_SUB_44"/>
          <w:szCs w:val="21"/>
        </w:rPr>
        <w:t>在电力</w:t>
      </w:r>
      <w:r>
        <w:rPr>
          <w:rFonts w:hint="eastAsia" w:ascii="宋体" w:hAnsi="宋体" w:cs="宋体"/>
          <w:szCs w:val="21"/>
        </w:rPr>
        <w:t>物</w:t>
      </w:r>
      <w:r>
        <w:rPr>
          <w:rFonts w:hint="eastAsia" w:ascii="宋体" w:hAnsi="宋体" w:cs="___WRD_EMBED_SUB_44"/>
          <w:szCs w:val="21"/>
        </w:rPr>
        <w:t>联网建设的号</w:t>
      </w:r>
      <w:r>
        <w:rPr>
          <w:rFonts w:hint="eastAsia" w:ascii="宋体" w:hAnsi="宋体" w:cs="宋体"/>
          <w:szCs w:val="21"/>
        </w:rPr>
        <w:t>召</w:t>
      </w:r>
      <w:r>
        <w:rPr>
          <w:rFonts w:hint="eastAsia" w:ascii="宋体" w:hAnsi="宋体" w:cs="___WRD_EMBED_SUB_44"/>
          <w:szCs w:val="21"/>
        </w:rPr>
        <w:t>。</w:t>
      </w:r>
    </w:p>
    <w:p>
      <w:pPr>
        <w:pStyle w:val="31"/>
        <w:spacing w:line="360" w:lineRule="auto"/>
        <w:ind w:firstLine="420"/>
        <w:rPr>
          <w:rFonts w:ascii="宋体" w:hAnsi="宋体"/>
          <w:szCs w:val="21"/>
        </w:rPr>
      </w:pPr>
      <w:r>
        <w:rPr>
          <w:rFonts w:hint="eastAsia" w:ascii="宋体" w:hAnsi="宋体"/>
          <w:szCs w:val="21"/>
        </w:rPr>
        <w:t>目前国家电网公司</w:t>
      </w:r>
      <w:r>
        <w:rPr>
          <w:rFonts w:hint="eastAsia" w:ascii="宋体" w:hAnsi="宋体" w:cs="宋体"/>
          <w:szCs w:val="21"/>
        </w:rPr>
        <w:t>泛</w:t>
      </w:r>
      <w:r>
        <w:rPr>
          <w:rFonts w:hint="eastAsia" w:ascii="宋体" w:hAnsi="宋体" w:cs="___WRD_EMBED_SUB_44"/>
          <w:szCs w:val="21"/>
        </w:rPr>
        <w:t>在电力</w:t>
      </w:r>
      <w:r>
        <w:rPr>
          <w:rFonts w:hint="eastAsia" w:ascii="宋体" w:hAnsi="宋体" w:cs="宋体"/>
          <w:szCs w:val="21"/>
        </w:rPr>
        <w:t>物</w:t>
      </w:r>
      <w:r>
        <w:rPr>
          <w:rFonts w:hint="eastAsia" w:ascii="宋体" w:hAnsi="宋体" w:cs="___WRD_EMBED_SUB_44"/>
          <w:szCs w:val="21"/>
        </w:rPr>
        <w:t>联网基建部门创新研究重点，主要着</w:t>
      </w:r>
      <w:r>
        <w:rPr>
          <w:rFonts w:hint="eastAsia" w:ascii="宋体" w:hAnsi="宋体" w:cs="宋体"/>
          <w:szCs w:val="21"/>
        </w:rPr>
        <w:t>眼</w:t>
      </w:r>
      <w:r>
        <w:rPr>
          <w:rFonts w:hint="eastAsia" w:ascii="宋体" w:hAnsi="宋体" w:cs="___WRD_EMBED_SUB_44"/>
          <w:szCs w:val="21"/>
        </w:rPr>
        <w:t>电网工程三维设计共享，本项目从封闭式开关柜检测应用出发，</w:t>
      </w:r>
      <w:r>
        <w:rPr>
          <w:rFonts w:hint="eastAsia" w:ascii="宋体" w:hAnsi="宋体" w:cs="宋体"/>
          <w:szCs w:val="21"/>
        </w:rPr>
        <w:t>扩</w:t>
      </w:r>
      <w:r>
        <w:rPr>
          <w:rFonts w:hint="eastAsia" w:ascii="宋体" w:hAnsi="宋体" w:cs="___WRD_EMBED_SUB_44"/>
          <w:szCs w:val="21"/>
        </w:rPr>
        <w:t>展丰富了</w:t>
      </w:r>
      <w:r>
        <w:rPr>
          <w:rFonts w:hint="eastAsia" w:ascii="宋体" w:hAnsi="宋体" w:cs="宋体"/>
          <w:szCs w:val="21"/>
        </w:rPr>
        <w:t>泛</w:t>
      </w:r>
      <w:r>
        <w:rPr>
          <w:rFonts w:hint="eastAsia" w:ascii="宋体" w:hAnsi="宋体" w:cs="___WRD_EMBED_SUB_44"/>
          <w:szCs w:val="21"/>
        </w:rPr>
        <w:t>在电力</w:t>
      </w:r>
      <w:r>
        <w:rPr>
          <w:rFonts w:hint="eastAsia" w:ascii="宋体" w:hAnsi="宋体" w:cs="宋体"/>
          <w:szCs w:val="21"/>
        </w:rPr>
        <w:t>物</w:t>
      </w:r>
      <w:r>
        <w:rPr>
          <w:rFonts w:hint="eastAsia" w:ascii="宋体" w:hAnsi="宋体" w:cs="___WRD_EMBED_SUB_44"/>
          <w:szCs w:val="21"/>
        </w:rPr>
        <w:t>联网应用场景。本项目以</w:t>
      </w:r>
      <w:r>
        <w:rPr>
          <w:rFonts w:hint="eastAsia" w:ascii="宋体" w:hAnsi="宋体" w:cs="宋体"/>
          <w:szCs w:val="21"/>
        </w:rPr>
        <w:t>泛</w:t>
      </w:r>
      <w:r>
        <w:rPr>
          <w:rFonts w:hint="eastAsia" w:ascii="宋体" w:hAnsi="宋体" w:cs="___WRD_EMBED_SUB_44"/>
          <w:szCs w:val="21"/>
        </w:rPr>
        <w:t>在电力</w:t>
      </w:r>
      <w:r>
        <w:rPr>
          <w:rFonts w:hint="eastAsia" w:ascii="宋体" w:hAnsi="宋体" w:cs="宋体"/>
          <w:szCs w:val="21"/>
        </w:rPr>
        <w:t>物</w:t>
      </w:r>
      <w:r>
        <w:rPr>
          <w:rFonts w:hint="eastAsia" w:ascii="宋体" w:hAnsi="宋体" w:cs="___WRD_EMBED_SUB_44"/>
          <w:szCs w:val="21"/>
        </w:rPr>
        <w:t>联网的应用层和感知层技术模式和目标为方向</w:t>
      </w:r>
      <w:r>
        <w:rPr>
          <w:rFonts w:hint="eastAsia" w:ascii="宋体" w:hAnsi="宋体" w:cs="宋体"/>
          <w:szCs w:val="21"/>
        </w:rPr>
        <w:t>打</w:t>
      </w:r>
      <w:r>
        <w:rPr>
          <w:rFonts w:hint="eastAsia" w:ascii="宋体" w:hAnsi="宋体" w:cs="___WRD_EMBED_SUB_44"/>
          <w:szCs w:val="21"/>
        </w:rPr>
        <w:t>造，最终将成为</w:t>
      </w:r>
      <w:r>
        <w:rPr>
          <w:rFonts w:hint="eastAsia" w:ascii="宋体" w:hAnsi="宋体" w:cs="宋体"/>
          <w:szCs w:val="21"/>
        </w:rPr>
        <w:t>泛</w:t>
      </w:r>
      <w:r>
        <w:rPr>
          <w:rFonts w:hint="eastAsia" w:ascii="宋体" w:hAnsi="宋体" w:cs="___WRD_EMBED_SUB_44"/>
          <w:szCs w:val="21"/>
        </w:rPr>
        <w:t>在</w:t>
      </w:r>
      <w:r>
        <w:rPr>
          <w:rFonts w:hint="eastAsia" w:ascii="宋体" w:hAnsi="宋体" w:cs="宋体"/>
          <w:szCs w:val="21"/>
        </w:rPr>
        <w:t>物</w:t>
      </w:r>
      <w:r>
        <w:rPr>
          <w:rFonts w:hint="eastAsia" w:ascii="宋体" w:hAnsi="宋体" w:cs="___WRD_EMBED_SUB_44"/>
          <w:szCs w:val="21"/>
        </w:rPr>
        <w:t>联网有机组成部分，响应了电网公司从全息感知、</w:t>
      </w:r>
      <w:r>
        <w:rPr>
          <w:rFonts w:hint="eastAsia" w:ascii="宋体" w:hAnsi="宋体" w:cs="宋体"/>
          <w:szCs w:val="21"/>
        </w:rPr>
        <w:t>泛</w:t>
      </w:r>
      <w:r>
        <w:rPr>
          <w:rFonts w:hint="eastAsia" w:ascii="宋体" w:hAnsi="宋体" w:cs="___WRD_EMBED_SUB_44"/>
          <w:szCs w:val="21"/>
        </w:rPr>
        <w:t>在连接、开放共享、业务创新四个方面进行提升，支</w:t>
      </w:r>
      <w:r>
        <w:rPr>
          <w:rFonts w:hint="eastAsia" w:ascii="宋体" w:hAnsi="宋体"/>
          <w:szCs w:val="21"/>
        </w:rPr>
        <w:t>撑“三型两网、</w:t>
      </w:r>
      <w:r>
        <w:rPr>
          <w:rFonts w:hint="eastAsia" w:ascii="宋体" w:hAnsi="宋体" w:cs="宋体"/>
          <w:szCs w:val="21"/>
        </w:rPr>
        <w:t>世</w:t>
      </w:r>
      <w:r>
        <w:rPr>
          <w:rFonts w:hint="eastAsia" w:ascii="宋体" w:hAnsi="宋体" w:cs="___WRD_EMBED_SUB_44"/>
          <w:szCs w:val="21"/>
        </w:rPr>
        <w:t>界一流”建设目标。</w:t>
      </w:r>
    </w:p>
    <w:p>
      <w:pPr>
        <w:pStyle w:val="31"/>
        <w:spacing w:line="360" w:lineRule="auto"/>
        <w:ind w:firstLine="420"/>
        <w:rPr>
          <w:rFonts w:ascii="宋体" w:hAnsi="宋体"/>
          <w:szCs w:val="21"/>
        </w:rPr>
      </w:pPr>
      <w:r>
        <w:rPr>
          <w:rFonts w:hint="eastAsia" w:ascii="宋体" w:hAnsi="宋体"/>
          <w:szCs w:val="21"/>
        </w:rPr>
        <w:t>项目的</w:t>
      </w:r>
      <w:r>
        <w:rPr>
          <w:rFonts w:hint="eastAsia" w:ascii="宋体" w:hAnsi="宋体" w:cs="宋体"/>
          <w:szCs w:val="21"/>
        </w:rPr>
        <w:t>风</w:t>
      </w:r>
      <w:r>
        <w:rPr>
          <w:rFonts w:hint="eastAsia" w:ascii="宋体" w:hAnsi="宋体" w:cs="___WRD_EMBED_SUB_44"/>
          <w:szCs w:val="21"/>
        </w:rPr>
        <w:t>险分析</w:t>
      </w:r>
      <w:r>
        <w:rPr>
          <w:rFonts w:hint="eastAsia" w:ascii="宋体" w:hAnsi="宋体"/>
          <w:szCs w:val="21"/>
        </w:rPr>
        <w:t>:</w:t>
      </w:r>
    </w:p>
    <w:p>
      <w:pPr>
        <w:pStyle w:val="31"/>
        <w:spacing w:line="360" w:lineRule="auto"/>
        <w:ind w:firstLine="420"/>
        <w:rPr>
          <w:rFonts w:ascii="宋体" w:hAnsi="宋体"/>
          <w:szCs w:val="21"/>
        </w:rPr>
      </w:pPr>
      <w:r>
        <w:rPr>
          <w:rFonts w:hint="eastAsia" w:ascii="宋体" w:hAnsi="宋体"/>
          <w:szCs w:val="21"/>
        </w:rPr>
        <w:t>本项目主要涉及系统软件开发、传感器硬件改造升级和支撑算法研究，投标人团队具有优秀的既往业绩和项目研发及实施基础，项目质量指标可以完全保证，故在项目实施过程中无明显</w:t>
      </w:r>
      <w:r>
        <w:rPr>
          <w:rFonts w:hint="eastAsia" w:ascii="宋体" w:hAnsi="宋体" w:cs="宋体"/>
          <w:szCs w:val="21"/>
        </w:rPr>
        <w:t>风</w:t>
      </w:r>
      <w:r>
        <w:rPr>
          <w:rFonts w:hint="eastAsia" w:ascii="宋体" w:hAnsi="宋体" w:cs="___WRD_EMBED_SUB_44"/>
          <w:szCs w:val="21"/>
        </w:rPr>
        <w:t>险点</w:t>
      </w:r>
      <w:r>
        <w:rPr>
          <w:rFonts w:hint="eastAsia" w:ascii="宋体" w:hAnsi="宋体"/>
          <w:szCs w:val="21"/>
        </w:rPr>
        <w:t>。</w:t>
      </w:r>
    </w:p>
    <w:p>
      <w:pPr>
        <w:pStyle w:val="3"/>
        <w:numPr>
          <w:ilvl w:val="0"/>
          <w:numId w:val="2"/>
        </w:numPr>
        <w:topLinePunct w:val="0"/>
        <w:adjustRightInd/>
        <w:snapToGrid/>
        <w:spacing w:before="260" w:beforeLines="0" w:after="260" w:afterLines="0" w:line="416" w:lineRule="auto"/>
        <w:rPr>
          <w:rFonts w:ascii="宋体" w:hAnsi="宋体" w:eastAsia="宋体" w:cstheme="majorBidi"/>
          <w:b/>
          <w:bCs/>
          <w:sz w:val="24"/>
          <w:szCs w:val="32"/>
        </w:rPr>
      </w:pPr>
      <w:bookmarkStart w:id="15" w:name="_Toc14250006"/>
      <w:r>
        <w:rPr>
          <w:rFonts w:hint="eastAsia" w:ascii="宋体" w:hAnsi="宋体" w:eastAsia="宋体" w:cstheme="majorBidi"/>
          <w:b/>
          <w:bCs/>
          <w:sz w:val="24"/>
          <w:szCs w:val="32"/>
        </w:rPr>
        <w:t>对招标文件技术标准与要求的应答。</w:t>
      </w:r>
      <w:bookmarkEnd w:id="15"/>
    </w:p>
    <w:p>
      <w:pPr>
        <w:widowControl/>
        <w:spacing w:after="0" w:line="240" w:lineRule="auto"/>
        <w:jc w:val="left"/>
        <w:rPr>
          <w:rFonts w:ascii="宋体" w:hAnsi="宋体"/>
        </w:rPr>
      </w:pPr>
      <w:bookmarkStart w:id="16" w:name="_Toc15730_WPSOffice_Level1"/>
      <w:r>
        <w:rPr>
          <w:rFonts w:hint="eastAsia" w:ascii="宋体" w:hAnsi="宋体"/>
        </w:rPr>
        <w:t>一 技术标准和要求</w:t>
      </w:r>
    </w:p>
    <w:p>
      <w:pPr>
        <w:pStyle w:val="18"/>
        <w:rPr>
          <w:rFonts w:ascii="宋体" w:hAnsi="宋体"/>
          <w:color w:val="auto"/>
        </w:rPr>
      </w:pPr>
      <w:r>
        <w:rPr>
          <w:rFonts w:hint="eastAsia" w:ascii="宋体" w:hAnsi="宋体"/>
          <w:color w:val="auto"/>
        </w:rPr>
        <w:t>（一）本招标项目的服务必须达到现行国家、行业及国家电网公司有关法规、规范和技术规程的要求。</w:t>
      </w:r>
    </w:p>
    <w:p>
      <w:pPr>
        <w:pStyle w:val="18"/>
        <w:rPr>
          <w:rFonts w:ascii="宋体" w:hAnsi="宋体"/>
          <w:color w:val="auto"/>
        </w:rPr>
      </w:pPr>
      <w:r>
        <w:rPr>
          <w:rFonts w:hint="eastAsia" w:ascii="宋体" w:hAnsi="宋体"/>
          <w:color w:val="auto"/>
        </w:rPr>
        <w:t>（二）根据工程要求，本招标项目的服务除必须达到以上标准外，还应满足下列标准要求：</w:t>
      </w:r>
    </w:p>
    <w:p>
      <w:pPr>
        <w:pStyle w:val="18"/>
        <w:rPr>
          <w:rFonts w:ascii="宋体" w:hAnsi="宋体"/>
          <w:color w:val="auto"/>
        </w:rPr>
      </w:pPr>
      <w:r>
        <w:rPr>
          <w:rFonts w:hint="eastAsia" w:ascii="宋体" w:hAnsi="宋体"/>
          <w:color w:val="auto"/>
        </w:rPr>
        <w:t>1.GB/T 13729-2002 远动终端设备</w:t>
      </w:r>
    </w:p>
    <w:p>
      <w:pPr>
        <w:pStyle w:val="18"/>
        <w:rPr>
          <w:rFonts w:ascii="宋体" w:hAnsi="宋体"/>
          <w:color w:val="auto"/>
        </w:rPr>
      </w:pPr>
      <w:r>
        <w:rPr>
          <w:rFonts w:hint="eastAsia" w:ascii="宋体" w:hAnsi="宋体"/>
          <w:color w:val="auto"/>
        </w:rPr>
        <w:t>2.GBT 26865.2-2011 电力系统实时动态监测系统 第2部分：数据传输协议;</w:t>
      </w:r>
    </w:p>
    <w:p>
      <w:pPr>
        <w:pStyle w:val="18"/>
        <w:rPr>
          <w:rFonts w:ascii="宋体" w:hAnsi="宋体"/>
          <w:color w:val="auto"/>
        </w:rPr>
      </w:pPr>
      <w:r>
        <w:rPr>
          <w:rFonts w:hint="eastAsia" w:ascii="宋体" w:hAnsi="宋体"/>
          <w:color w:val="auto"/>
        </w:rPr>
        <w:t>3.GBT 3906-2006 3.6～40.5kV交流金属封闭开关设备和控制设备;</w:t>
      </w:r>
    </w:p>
    <w:p>
      <w:pPr>
        <w:pStyle w:val="18"/>
        <w:rPr>
          <w:rFonts w:ascii="宋体" w:hAnsi="宋体"/>
          <w:color w:val="auto"/>
        </w:rPr>
      </w:pPr>
      <w:r>
        <w:rPr>
          <w:rFonts w:hint="eastAsia" w:ascii="宋体" w:hAnsi="宋体"/>
          <w:color w:val="auto"/>
        </w:rPr>
        <w:t>4.中华人民共和国专利法;</w:t>
      </w:r>
    </w:p>
    <w:p>
      <w:pPr>
        <w:pStyle w:val="18"/>
        <w:rPr>
          <w:rFonts w:ascii="宋体" w:hAnsi="宋体"/>
          <w:color w:val="auto"/>
        </w:rPr>
      </w:pPr>
      <w:r>
        <w:rPr>
          <w:rFonts w:hint="eastAsia" w:ascii="宋体" w:hAnsi="宋体"/>
          <w:color w:val="auto"/>
        </w:rPr>
        <w:t>5.中华人民共和国专利法实施细则;</w:t>
      </w:r>
    </w:p>
    <w:p>
      <w:pPr>
        <w:pStyle w:val="18"/>
        <w:rPr>
          <w:rFonts w:ascii="宋体" w:hAnsi="宋体"/>
          <w:color w:val="auto"/>
        </w:rPr>
      </w:pPr>
      <w:r>
        <w:rPr>
          <w:rFonts w:hint="eastAsia" w:ascii="宋体" w:hAnsi="宋体"/>
          <w:color w:val="auto"/>
        </w:rPr>
        <w:t>6.国家知识产权局专利收费标准;</w:t>
      </w:r>
    </w:p>
    <w:p>
      <w:pPr>
        <w:pStyle w:val="18"/>
        <w:rPr>
          <w:rFonts w:ascii="宋体" w:hAnsi="宋体"/>
          <w:color w:val="auto"/>
        </w:rPr>
      </w:pPr>
      <w:r>
        <w:rPr>
          <w:rFonts w:hint="eastAsia" w:ascii="宋体" w:hAnsi="宋体"/>
          <w:color w:val="auto"/>
        </w:rPr>
        <w:t>7.国家电网公司保密工作奖惩办法;</w:t>
      </w:r>
    </w:p>
    <w:p>
      <w:pPr>
        <w:pStyle w:val="18"/>
        <w:rPr>
          <w:rFonts w:ascii="宋体" w:hAnsi="宋体"/>
          <w:color w:val="auto"/>
        </w:rPr>
      </w:pPr>
      <w:r>
        <w:rPr>
          <w:rFonts w:hint="eastAsia" w:ascii="宋体" w:hAnsi="宋体"/>
          <w:color w:val="auto"/>
        </w:rPr>
        <w:t>8.国家电网公司档案管理办法;</w:t>
      </w:r>
    </w:p>
    <w:p>
      <w:pPr>
        <w:pStyle w:val="18"/>
        <w:rPr>
          <w:rFonts w:ascii="宋体" w:hAnsi="宋体"/>
          <w:color w:val="auto"/>
        </w:rPr>
      </w:pPr>
      <w:r>
        <w:rPr>
          <w:rFonts w:hint="eastAsia" w:ascii="宋体" w:hAnsi="宋体"/>
          <w:color w:val="auto"/>
        </w:rPr>
        <w:t>9.国家电网公司科技工作管理办法;</w:t>
      </w:r>
    </w:p>
    <w:p>
      <w:pPr>
        <w:pStyle w:val="18"/>
        <w:rPr>
          <w:rFonts w:ascii="宋体" w:hAnsi="宋体"/>
          <w:color w:val="auto"/>
        </w:rPr>
      </w:pPr>
      <w:r>
        <w:rPr>
          <w:rFonts w:hint="eastAsia" w:ascii="宋体" w:hAnsi="宋体"/>
          <w:color w:val="auto"/>
        </w:rPr>
        <w:t>10.国家电网公司科技统计工作管理办法;</w:t>
      </w:r>
    </w:p>
    <w:p>
      <w:pPr>
        <w:pStyle w:val="18"/>
        <w:rPr>
          <w:rFonts w:ascii="宋体" w:hAnsi="宋体"/>
          <w:color w:val="auto"/>
        </w:rPr>
      </w:pPr>
      <w:r>
        <w:rPr>
          <w:rFonts w:hint="eastAsia" w:ascii="宋体" w:hAnsi="宋体"/>
          <w:color w:val="auto"/>
        </w:rPr>
        <w:t>11.国网四川省电力公司数据资产管理实施细则。</w:t>
      </w:r>
    </w:p>
    <w:p>
      <w:pPr>
        <w:pStyle w:val="18"/>
        <w:rPr>
          <w:rFonts w:ascii="宋体" w:hAnsi="宋体"/>
          <w:color w:val="auto"/>
        </w:rPr>
      </w:pPr>
      <w:r>
        <w:rPr>
          <w:rFonts w:hint="eastAsia" w:ascii="宋体" w:hAnsi="宋体"/>
          <w:color w:val="auto"/>
        </w:rPr>
        <w:t>二 集中招标其他说明事项</w:t>
      </w:r>
    </w:p>
    <w:p>
      <w:pPr>
        <w:pStyle w:val="18"/>
        <w:rPr>
          <w:rFonts w:ascii="宋体" w:hAnsi="宋体"/>
          <w:color w:val="auto"/>
        </w:rPr>
      </w:pPr>
      <w:r>
        <w:rPr>
          <w:rFonts w:hint="eastAsia" w:ascii="宋体" w:hAnsi="宋体"/>
          <w:color w:val="auto"/>
        </w:rPr>
        <w:t>本条主要结合各项目实际情况，对招标文件中存在的差异性条款进行专门说明（不得与“使用说明”相违背）。项目单位在合同签订、执行以及招投标资料归档时应逐一对应替换。本条所述各项条款若与其他章节内容冲突，以本条为准。</w:t>
      </w:r>
    </w:p>
    <w:p>
      <w:pPr>
        <w:pStyle w:val="18"/>
        <w:rPr>
          <w:rFonts w:ascii="宋体" w:hAnsi="宋体"/>
          <w:color w:val="auto"/>
        </w:rPr>
      </w:pPr>
      <w:r>
        <w:rPr>
          <w:rFonts w:hint="eastAsia" w:ascii="宋体" w:hAnsi="宋体"/>
          <w:color w:val="auto"/>
        </w:rPr>
        <w:t xml:space="preserve">  无                                                           </w:t>
      </w:r>
    </w:p>
    <w:p>
      <w:pPr>
        <w:pStyle w:val="18"/>
        <w:rPr>
          <w:rFonts w:ascii="宋体" w:hAnsi="宋体"/>
          <w:color w:val="auto"/>
        </w:rPr>
      </w:pPr>
      <w:r>
        <w:rPr>
          <w:rFonts w:hint="eastAsia" w:ascii="宋体" w:hAnsi="宋体"/>
          <w:color w:val="auto"/>
        </w:rPr>
        <w:t>三 工程技术规范书与图纸</w:t>
      </w:r>
    </w:p>
    <w:p>
      <w:pPr>
        <w:pStyle w:val="18"/>
        <w:rPr>
          <w:rFonts w:ascii="宋体" w:hAnsi="宋体"/>
          <w:color w:val="auto"/>
        </w:rPr>
      </w:pPr>
      <w:r>
        <w:rPr>
          <w:rFonts w:hint="eastAsia" w:ascii="宋体" w:hAnsi="宋体"/>
          <w:color w:val="auto"/>
        </w:rPr>
        <w:t>（一）招标项目介绍</w:t>
      </w:r>
    </w:p>
    <w:p>
      <w:pPr>
        <w:pStyle w:val="18"/>
        <w:rPr>
          <w:rFonts w:ascii="宋体" w:hAnsi="宋体"/>
          <w:color w:val="auto"/>
        </w:rPr>
      </w:pPr>
      <w:r>
        <w:rPr>
          <w:rFonts w:hint="eastAsia" w:ascii="宋体" w:hAnsi="宋体"/>
          <w:color w:val="auto"/>
        </w:rPr>
        <w:t>1.项目管理单位：国网四川省电力公司天府新区供电公司</w:t>
      </w:r>
    </w:p>
    <w:p>
      <w:pPr>
        <w:pStyle w:val="18"/>
        <w:rPr>
          <w:rFonts w:ascii="宋体" w:hAnsi="宋体"/>
          <w:color w:val="auto"/>
        </w:rPr>
      </w:pPr>
      <w:r>
        <w:rPr>
          <w:rFonts w:hint="eastAsia" w:ascii="宋体" w:hAnsi="宋体"/>
          <w:color w:val="auto"/>
        </w:rPr>
        <w:t>地址：成都市高新区天府二街99号</w:t>
      </w:r>
    </w:p>
    <w:p>
      <w:pPr>
        <w:pStyle w:val="18"/>
        <w:rPr>
          <w:rFonts w:ascii="宋体" w:hAnsi="宋体"/>
          <w:color w:val="auto"/>
        </w:rPr>
      </w:pPr>
      <w:r>
        <w:rPr>
          <w:rFonts w:hint="eastAsia" w:ascii="宋体" w:hAnsi="宋体"/>
          <w:color w:val="auto"/>
        </w:rPr>
        <w:t>联系人：程昌奎</w:t>
      </w:r>
    </w:p>
    <w:p>
      <w:pPr>
        <w:pStyle w:val="18"/>
        <w:rPr>
          <w:rFonts w:ascii="宋体" w:hAnsi="宋体"/>
          <w:color w:val="auto"/>
        </w:rPr>
      </w:pPr>
      <w:r>
        <w:rPr>
          <w:rFonts w:hint="eastAsia" w:ascii="宋体" w:hAnsi="宋体"/>
          <w:color w:val="auto"/>
        </w:rPr>
        <w:t>电话：028-68367076</w:t>
      </w:r>
    </w:p>
    <w:p>
      <w:pPr>
        <w:pStyle w:val="18"/>
        <w:rPr>
          <w:rFonts w:ascii="宋体" w:hAnsi="宋体"/>
          <w:color w:val="auto"/>
        </w:rPr>
      </w:pPr>
      <w:r>
        <w:rPr>
          <w:rFonts w:hint="eastAsia" w:ascii="宋体" w:hAnsi="宋体"/>
          <w:color w:val="auto"/>
        </w:rPr>
        <w:t>部门：运维检修部</w:t>
      </w:r>
    </w:p>
    <w:p>
      <w:pPr>
        <w:pStyle w:val="18"/>
        <w:rPr>
          <w:rFonts w:ascii="宋体" w:hAnsi="宋体"/>
          <w:color w:val="auto"/>
        </w:rPr>
      </w:pPr>
      <w:r>
        <w:rPr>
          <w:rFonts w:hint="eastAsia" w:ascii="宋体" w:hAnsi="宋体"/>
          <w:color w:val="auto"/>
        </w:rPr>
        <w:t>2.</w:t>
      </w:r>
      <w:r>
        <w:rPr>
          <w:rFonts w:hint="eastAsia" w:ascii="宋体" w:hAnsi="宋体"/>
          <w:color w:val="auto"/>
        </w:rPr>
        <w:tab/>
      </w:r>
      <w:r>
        <w:rPr>
          <w:rFonts w:hint="eastAsia" w:ascii="宋体" w:hAnsi="宋体"/>
          <w:color w:val="auto"/>
        </w:rPr>
        <w:t>项目名称：</w:t>
      </w:r>
    </w:p>
    <w:p>
      <w:pPr>
        <w:pStyle w:val="18"/>
        <w:rPr>
          <w:rFonts w:ascii="宋体" w:hAnsi="宋体"/>
          <w:color w:val="auto"/>
        </w:rPr>
      </w:pPr>
      <w:r>
        <w:rPr>
          <w:rFonts w:ascii="宋体" w:hAnsi="宋体"/>
          <w:color w:val="auto"/>
        </w:rPr>
        <w:t>3.</w:t>
      </w:r>
      <w:r>
        <w:rPr>
          <w:rFonts w:ascii="宋体" w:hAnsi="宋体"/>
          <w:color w:val="auto"/>
        </w:rPr>
        <w:tab/>
      </w:r>
    </w:p>
    <w:tbl>
      <w:tblPr>
        <w:tblStyle w:val="14"/>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6"/>
        <w:gridCol w:w="1337"/>
        <w:gridCol w:w="3915"/>
        <w:gridCol w:w="945"/>
        <w:gridCol w:w="12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6" w:type="dxa"/>
            <w:vAlign w:val="center"/>
          </w:tcPr>
          <w:p>
            <w:pPr>
              <w:snapToGrid w:val="0"/>
              <w:spacing w:line="320" w:lineRule="exact"/>
              <w:jc w:val="center"/>
              <w:outlineLvl w:val="0"/>
              <w:rPr>
                <w:rFonts w:ascii="仿宋" w:hAnsi="仿宋" w:eastAsia="仿宋" w:cs="仿宋"/>
                <w:color w:val="000000"/>
                <w:kern w:val="0"/>
                <w:szCs w:val="21"/>
              </w:rPr>
            </w:pPr>
            <w:bookmarkStart w:id="17" w:name="_Toc14250007"/>
            <w:r>
              <w:rPr>
                <w:rFonts w:hint="eastAsia" w:ascii="仿宋" w:hAnsi="仿宋" w:eastAsia="仿宋" w:cs="仿宋"/>
                <w:color w:val="000000"/>
                <w:kern w:val="0"/>
                <w:szCs w:val="21"/>
              </w:rPr>
              <w:t>序号</w:t>
            </w:r>
            <w:bookmarkEnd w:id="17"/>
          </w:p>
        </w:tc>
        <w:tc>
          <w:tcPr>
            <w:tcW w:w="1337" w:type="dxa"/>
            <w:vAlign w:val="center"/>
          </w:tcPr>
          <w:p>
            <w:pPr>
              <w:snapToGrid w:val="0"/>
              <w:spacing w:line="320" w:lineRule="exact"/>
              <w:jc w:val="center"/>
              <w:outlineLvl w:val="0"/>
              <w:rPr>
                <w:rFonts w:ascii="仿宋" w:hAnsi="仿宋" w:eastAsia="仿宋" w:cs="仿宋"/>
                <w:color w:val="000000"/>
                <w:kern w:val="0"/>
                <w:szCs w:val="21"/>
              </w:rPr>
            </w:pPr>
            <w:bookmarkStart w:id="18" w:name="_Toc14250008"/>
            <w:r>
              <w:rPr>
                <w:rFonts w:hint="eastAsia" w:ascii="仿宋" w:hAnsi="仿宋" w:eastAsia="仿宋" w:cs="仿宋"/>
                <w:color w:val="000000"/>
                <w:kern w:val="0"/>
                <w:szCs w:val="21"/>
              </w:rPr>
              <w:t>ERP采购申请号</w:t>
            </w:r>
            <w:bookmarkEnd w:id="18"/>
          </w:p>
        </w:tc>
        <w:tc>
          <w:tcPr>
            <w:tcW w:w="3915" w:type="dxa"/>
            <w:vAlign w:val="center"/>
          </w:tcPr>
          <w:p>
            <w:pPr>
              <w:snapToGrid w:val="0"/>
              <w:spacing w:line="320" w:lineRule="exact"/>
              <w:jc w:val="center"/>
              <w:outlineLvl w:val="0"/>
              <w:rPr>
                <w:rFonts w:ascii="仿宋" w:hAnsi="仿宋" w:eastAsia="仿宋" w:cs="仿宋"/>
                <w:color w:val="000000"/>
                <w:kern w:val="0"/>
                <w:szCs w:val="21"/>
              </w:rPr>
            </w:pPr>
            <w:bookmarkStart w:id="19" w:name="_Toc14250009"/>
            <w:r>
              <w:rPr>
                <w:rFonts w:hint="eastAsia" w:ascii="仿宋" w:hAnsi="仿宋" w:eastAsia="仿宋" w:cs="仿宋"/>
                <w:color w:val="000000"/>
                <w:kern w:val="0"/>
                <w:szCs w:val="21"/>
              </w:rPr>
              <w:t>项目名称</w:t>
            </w:r>
            <w:bookmarkEnd w:id="19"/>
          </w:p>
        </w:tc>
        <w:tc>
          <w:tcPr>
            <w:tcW w:w="945" w:type="dxa"/>
            <w:vAlign w:val="center"/>
          </w:tcPr>
          <w:p>
            <w:pPr>
              <w:snapToGrid w:val="0"/>
              <w:spacing w:line="320" w:lineRule="exact"/>
              <w:jc w:val="center"/>
              <w:outlineLvl w:val="0"/>
              <w:rPr>
                <w:rFonts w:ascii="仿宋" w:hAnsi="仿宋" w:eastAsia="仿宋" w:cs="仿宋"/>
                <w:color w:val="000000"/>
                <w:kern w:val="0"/>
                <w:szCs w:val="21"/>
              </w:rPr>
            </w:pPr>
            <w:bookmarkStart w:id="20" w:name="_Toc14250010"/>
            <w:r>
              <w:rPr>
                <w:rFonts w:hint="eastAsia" w:ascii="仿宋" w:hAnsi="仿宋" w:eastAsia="仿宋" w:cs="仿宋"/>
                <w:color w:val="000000"/>
                <w:kern w:val="0"/>
                <w:szCs w:val="21"/>
              </w:rPr>
              <w:t>备  注</w:t>
            </w:r>
            <w:bookmarkEnd w:id="20"/>
          </w:p>
        </w:tc>
        <w:tc>
          <w:tcPr>
            <w:tcW w:w="1230" w:type="dxa"/>
            <w:vAlign w:val="center"/>
          </w:tcPr>
          <w:p>
            <w:pPr>
              <w:snapToGrid w:val="0"/>
              <w:spacing w:line="320" w:lineRule="exact"/>
              <w:jc w:val="center"/>
              <w:outlineLvl w:val="0"/>
              <w:rPr>
                <w:rFonts w:ascii="仿宋" w:hAnsi="仿宋" w:eastAsia="仿宋" w:cs="仿宋"/>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6" w:type="dxa"/>
          </w:tcPr>
          <w:p>
            <w:pPr>
              <w:snapToGrid w:val="0"/>
              <w:spacing w:line="360" w:lineRule="auto"/>
              <w:jc w:val="center"/>
              <w:outlineLvl w:val="0"/>
              <w:rPr>
                <w:rFonts w:ascii="仿宋" w:hAnsi="仿宋" w:eastAsia="仿宋" w:cs="仿宋"/>
                <w:color w:val="000000"/>
                <w:kern w:val="0"/>
                <w:szCs w:val="21"/>
              </w:rPr>
            </w:pPr>
            <w:bookmarkStart w:id="21" w:name="_Toc14250011"/>
            <w:r>
              <w:rPr>
                <w:rFonts w:hint="eastAsia" w:ascii="仿宋" w:hAnsi="仿宋" w:eastAsia="仿宋" w:cs="仿宋"/>
                <w:color w:val="000000"/>
                <w:kern w:val="0"/>
                <w:szCs w:val="21"/>
              </w:rPr>
              <w:t>1</w:t>
            </w:r>
            <w:bookmarkEnd w:id="21"/>
          </w:p>
        </w:tc>
        <w:tc>
          <w:tcPr>
            <w:tcW w:w="1337" w:type="dxa"/>
          </w:tcPr>
          <w:p>
            <w:pPr>
              <w:snapToGrid w:val="0"/>
              <w:spacing w:line="360" w:lineRule="auto"/>
              <w:outlineLvl w:val="0"/>
              <w:rPr>
                <w:rFonts w:ascii="仿宋" w:hAnsi="仿宋" w:eastAsia="仿宋" w:cs="仿宋"/>
                <w:color w:val="000000"/>
                <w:szCs w:val="21"/>
              </w:rPr>
            </w:pPr>
            <w:bookmarkStart w:id="22" w:name="_Toc14250012"/>
            <w:r>
              <w:rPr>
                <w:rFonts w:hint="eastAsia" w:ascii="仿宋" w:hAnsi="仿宋" w:eastAsia="仿宋" w:cs="仿宋"/>
                <w:color w:val="000000"/>
                <w:szCs w:val="21"/>
              </w:rPr>
              <w:t>3500552476</w:t>
            </w:r>
            <w:bookmarkEnd w:id="22"/>
          </w:p>
          <w:p>
            <w:pPr>
              <w:snapToGrid w:val="0"/>
              <w:spacing w:line="360" w:lineRule="auto"/>
              <w:outlineLvl w:val="0"/>
              <w:rPr>
                <w:rFonts w:ascii="仿宋" w:hAnsi="仿宋" w:eastAsia="仿宋" w:cs="仿宋"/>
                <w:color w:val="000000"/>
                <w:szCs w:val="21"/>
              </w:rPr>
            </w:pPr>
          </w:p>
        </w:tc>
        <w:tc>
          <w:tcPr>
            <w:tcW w:w="3915" w:type="dxa"/>
          </w:tcPr>
          <w:p>
            <w:pPr>
              <w:snapToGrid w:val="0"/>
              <w:spacing w:line="360" w:lineRule="auto"/>
              <w:outlineLvl w:val="0"/>
              <w:rPr>
                <w:rFonts w:ascii="仿宋" w:hAnsi="仿宋" w:eastAsia="仿宋" w:cs="仿宋"/>
                <w:color w:val="000000"/>
                <w:kern w:val="0"/>
                <w:szCs w:val="21"/>
              </w:rPr>
            </w:pPr>
            <w:bookmarkStart w:id="23" w:name="_Toc14250013"/>
            <w:r>
              <w:rPr>
                <w:rFonts w:hint="eastAsia" w:ascii="仿宋" w:hAnsi="仿宋" w:eastAsia="仿宋" w:cs="仿宋"/>
                <w:color w:val="000000"/>
                <w:szCs w:val="21"/>
              </w:rPr>
              <w:t>集成弧光保护的开关柜故障监测、防控与事故追溯一体化系统研究开发</w:t>
            </w:r>
            <w:bookmarkEnd w:id="23"/>
          </w:p>
        </w:tc>
        <w:tc>
          <w:tcPr>
            <w:tcW w:w="945" w:type="dxa"/>
            <w:vAlign w:val="center"/>
          </w:tcPr>
          <w:p>
            <w:pPr>
              <w:snapToGrid w:val="0"/>
              <w:spacing w:line="360" w:lineRule="auto"/>
              <w:jc w:val="center"/>
              <w:outlineLvl w:val="0"/>
              <w:rPr>
                <w:rFonts w:ascii="仿宋" w:hAnsi="仿宋" w:eastAsia="仿宋" w:cs="仿宋"/>
                <w:color w:val="000000"/>
                <w:kern w:val="0"/>
                <w:szCs w:val="21"/>
              </w:rPr>
            </w:pPr>
          </w:p>
        </w:tc>
        <w:tc>
          <w:tcPr>
            <w:tcW w:w="1230" w:type="dxa"/>
            <w:vAlign w:val="center"/>
          </w:tcPr>
          <w:p>
            <w:pPr>
              <w:snapToGrid w:val="0"/>
              <w:spacing w:line="360" w:lineRule="auto"/>
              <w:jc w:val="center"/>
              <w:outlineLvl w:val="0"/>
              <w:rPr>
                <w:rFonts w:ascii="仿宋" w:hAnsi="仿宋" w:eastAsia="仿宋" w:cs="仿宋"/>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6" w:type="dxa"/>
          </w:tcPr>
          <w:p>
            <w:pPr>
              <w:snapToGrid w:val="0"/>
              <w:spacing w:line="360" w:lineRule="auto"/>
              <w:jc w:val="center"/>
              <w:outlineLvl w:val="0"/>
              <w:rPr>
                <w:rFonts w:ascii="仿宋" w:hAnsi="仿宋" w:eastAsia="仿宋" w:cs="仿宋"/>
                <w:color w:val="000000"/>
                <w:kern w:val="0"/>
                <w:szCs w:val="21"/>
              </w:rPr>
            </w:pPr>
            <w:bookmarkStart w:id="24" w:name="_Toc14250014"/>
            <w:r>
              <w:rPr>
                <w:rFonts w:hint="eastAsia" w:ascii="仿宋" w:hAnsi="仿宋" w:eastAsia="仿宋" w:cs="仿宋"/>
                <w:color w:val="000000"/>
                <w:kern w:val="0"/>
                <w:szCs w:val="21"/>
              </w:rPr>
              <w:t>2</w:t>
            </w:r>
            <w:bookmarkEnd w:id="24"/>
          </w:p>
        </w:tc>
        <w:tc>
          <w:tcPr>
            <w:tcW w:w="1337" w:type="dxa"/>
          </w:tcPr>
          <w:p>
            <w:pPr>
              <w:snapToGrid w:val="0"/>
              <w:spacing w:line="360" w:lineRule="auto"/>
              <w:outlineLvl w:val="0"/>
              <w:rPr>
                <w:rFonts w:ascii="仿宋" w:hAnsi="仿宋" w:eastAsia="仿宋" w:cs="仿宋"/>
                <w:color w:val="000000"/>
                <w:szCs w:val="21"/>
              </w:rPr>
            </w:pPr>
            <w:bookmarkStart w:id="25" w:name="_Toc14250015"/>
            <w:r>
              <w:rPr>
                <w:rFonts w:hint="eastAsia" w:ascii="仿宋" w:hAnsi="仿宋" w:eastAsia="仿宋" w:cs="仿宋"/>
                <w:color w:val="000000"/>
                <w:szCs w:val="21"/>
              </w:rPr>
              <w:t>3500552477</w:t>
            </w:r>
            <w:bookmarkEnd w:id="25"/>
          </w:p>
        </w:tc>
        <w:tc>
          <w:tcPr>
            <w:tcW w:w="3915" w:type="dxa"/>
          </w:tcPr>
          <w:p>
            <w:pPr>
              <w:snapToGrid w:val="0"/>
              <w:spacing w:line="360" w:lineRule="auto"/>
              <w:outlineLvl w:val="0"/>
              <w:rPr>
                <w:rFonts w:ascii="仿宋" w:hAnsi="仿宋" w:eastAsia="仿宋" w:cs="仿宋"/>
                <w:color w:val="000000"/>
                <w:szCs w:val="21"/>
              </w:rPr>
            </w:pPr>
            <w:bookmarkStart w:id="26" w:name="_Toc14250016"/>
            <w:r>
              <w:rPr>
                <w:rFonts w:hint="eastAsia" w:ascii="仿宋" w:hAnsi="仿宋" w:eastAsia="仿宋" w:cs="仿宋"/>
                <w:color w:val="000000"/>
                <w:szCs w:val="21"/>
              </w:rPr>
              <w:t>集成弧光保护的开关柜故障监测、防控与事故追溯一体化系统研究开发</w:t>
            </w:r>
            <w:bookmarkEnd w:id="26"/>
          </w:p>
        </w:tc>
        <w:tc>
          <w:tcPr>
            <w:tcW w:w="945" w:type="dxa"/>
            <w:vAlign w:val="center"/>
          </w:tcPr>
          <w:p>
            <w:pPr>
              <w:snapToGrid w:val="0"/>
              <w:spacing w:line="360" w:lineRule="auto"/>
              <w:jc w:val="center"/>
              <w:outlineLvl w:val="0"/>
              <w:rPr>
                <w:rFonts w:ascii="仿宋" w:hAnsi="仿宋" w:eastAsia="仿宋" w:cs="仿宋"/>
                <w:color w:val="000000"/>
                <w:kern w:val="0"/>
                <w:szCs w:val="21"/>
              </w:rPr>
            </w:pPr>
          </w:p>
        </w:tc>
        <w:tc>
          <w:tcPr>
            <w:tcW w:w="1230" w:type="dxa"/>
            <w:vAlign w:val="center"/>
          </w:tcPr>
          <w:p>
            <w:pPr>
              <w:snapToGrid w:val="0"/>
              <w:spacing w:line="360" w:lineRule="auto"/>
              <w:jc w:val="center"/>
              <w:outlineLvl w:val="0"/>
              <w:rPr>
                <w:rFonts w:ascii="仿宋" w:hAnsi="仿宋" w:eastAsia="仿宋" w:cs="仿宋"/>
                <w:color w:val="000000"/>
                <w:kern w:val="0"/>
                <w:szCs w:val="21"/>
              </w:rPr>
            </w:pPr>
          </w:p>
        </w:tc>
      </w:tr>
    </w:tbl>
    <w:p>
      <w:pPr>
        <w:pStyle w:val="18"/>
        <w:rPr>
          <w:rFonts w:ascii="宋体" w:hAnsi="宋体"/>
          <w:color w:val="auto"/>
        </w:rPr>
      </w:pPr>
      <w:r>
        <w:rPr>
          <w:rFonts w:hint="eastAsia" w:ascii="宋体" w:hAnsi="宋体"/>
          <w:color w:val="auto"/>
        </w:rPr>
        <w:t>3.项目概述</w:t>
      </w:r>
    </w:p>
    <w:p>
      <w:pPr>
        <w:pStyle w:val="18"/>
        <w:rPr>
          <w:rFonts w:ascii="宋体" w:hAnsi="宋体"/>
          <w:color w:val="auto"/>
        </w:rPr>
      </w:pPr>
      <w:r>
        <w:rPr>
          <w:rFonts w:hint="eastAsia" w:ascii="宋体" w:hAnsi="宋体"/>
          <w:color w:val="auto"/>
        </w:rPr>
        <w:t>高压开关柜的爆燃是电力系统重大事故，轻则导致停电事故及相邻开关柜的损毁，重则伤及人身，甚至导致“火烧连营”的重大恶性事故。高压开关柜从事故发生初期到严重燃烧的过程较为短暂，期间将烧毁柜内各种一、二次设备，运维和事故分析人员难以追溯故障原因和分析事故发生机理，事后也无法掌握事故的发展过程，缺乏后评估依据。</w:t>
      </w:r>
    </w:p>
    <w:p>
      <w:pPr>
        <w:pStyle w:val="18"/>
        <w:rPr>
          <w:rFonts w:ascii="宋体" w:hAnsi="宋体"/>
          <w:color w:val="auto"/>
        </w:rPr>
      </w:pPr>
      <w:r>
        <w:rPr>
          <w:rFonts w:hint="eastAsia" w:ascii="宋体" w:hAnsi="宋体"/>
          <w:color w:val="auto"/>
        </w:rPr>
        <w:t>本项目通过对高压开关柜内部连接点温度、弧光（电晕、爬电、闪络、燃弧等）、局部放电、开关动作特性、环境温湿度、电压、电流等综合状态监测与分析，实现基于高频采集的开关柜运行状态全息可观能力；通过数据研判与综合分析，及时发现异常状况并产生告警信号，有利于及时消除隐患；同时，通过自主研发的弧光保护，在事故状态下可快速（&lt;80ms）切断电源，减少设备损失及人身伤害，缩小停电范围。此外，基于工业以太网，定制规约，设计面向高频采集的状态数据记录与传输网络，在满足事故初期阈值评定条件下，自动高密度存储各类参数，供事故追溯高层分析应用。在站端集成方面，研发高压开关柜状态可视化在线监测与评估软件，通过先进的图形图像技术，实现运行状态健康程度的即时评估，同时针对事故实现追溯分析功能，辅助运检人员进行事后分析。</w:t>
      </w:r>
    </w:p>
    <w:p>
      <w:pPr>
        <w:pStyle w:val="18"/>
        <w:rPr>
          <w:rFonts w:ascii="宋体" w:hAnsi="宋体"/>
          <w:color w:val="auto"/>
        </w:rPr>
      </w:pPr>
      <w:r>
        <w:rPr>
          <w:rFonts w:hint="eastAsia" w:ascii="宋体" w:hAnsi="宋体"/>
          <w:color w:val="auto"/>
        </w:rPr>
        <w:t>4.招标内容</w:t>
      </w:r>
    </w:p>
    <w:p>
      <w:pPr>
        <w:pStyle w:val="18"/>
        <w:rPr>
          <w:rFonts w:ascii="宋体" w:hAnsi="宋体"/>
          <w:color w:val="auto"/>
        </w:rPr>
      </w:pPr>
      <w:r>
        <w:rPr>
          <w:rFonts w:hint="eastAsia" w:ascii="宋体" w:hAnsi="宋体"/>
          <w:color w:val="auto"/>
        </w:rPr>
        <w:t>（1） 高压开关柜温度、局放、机械特性等状态参数传感器及系统通信方式的选择与改进。</w:t>
      </w:r>
    </w:p>
    <w:p>
      <w:pPr>
        <w:pStyle w:val="18"/>
        <w:rPr>
          <w:rFonts w:ascii="宋体" w:hAnsi="宋体"/>
          <w:color w:val="auto"/>
        </w:rPr>
      </w:pPr>
      <w:r>
        <w:rPr>
          <w:rFonts w:hint="eastAsia" w:ascii="宋体" w:hAnsi="宋体"/>
          <w:color w:val="auto"/>
        </w:rPr>
        <w:t>应答：满足。不同传感器表征开关柜的不同状态信息，比如连接点温度传感器采集的是温度信息，局部放电传感器采集的是放电信息，弧光传感器采集的是爬电、闪络、燃烧的光照度，环境温湿度传感器采集的是开关柜内部的环境温、湿度数据等，哪些物理量或者物理量的结合更能有效分析开关柜的健康状态，并给出告警信号，或者给出检修建议，需要进行深入研究，以利于优化技术方案和减少投资。为了便于实现事故追溯，需要对目前的常规传感器或数据采集器进行改进，以支持更高频度的数据采集和时间同步功能，以确保各采集数据的连续性、完整性和相容性。本项目从传感器工作稳定性、施工安装、协作分析问题方面入手，通过在传感器设计中增强电路布板设计，包括电路的走向，宽度，接地系统的设计；同时增加了消除和抑制干扰的电路、采用了隔离屏蔽措施，解决传感器稳定性问题，针对开关柜内部空间狭小问题，研发小型传感器以及内窥式红外成像传感设备，通过对传感器进行集成化设计，其次为了满足对时精度的要求，对每个传感器都做了B码对时，这样后端拿到带时标的数据，通过时标对齐方式，可以融合各种参数，对开关柜进行多维度的状态分析。</w:t>
      </w:r>
    </w:p>
    <w:p>
      <w:pPr>
        <w:pStyle w:val="18"/>
        <w:rPr>
          <w:rFonts w:ascii="宋体" w:hAnsi="宋体"/>
          <w:color w:val="auto"/>
        </w:rPr>
      </w:pPr>
      <w:r>
        <w:rPr>
          <w:rFonts w:hint="eastAsia" w:ascii="宋体" w:hAnsi="宋体"/>
          <w:color w:val="auto"/>
        </w:rPr>
        <w:t>一般地，开关柜状态监测是基于稳态条件下的观测，由于非暂态事故情况下温度不易突变，局放信号具有周期性，环境温湿度也不易快速变化，所以这类传感器的采样周期都较长，数据传输所需要的带宽较小，数据之间不关心时间上的一致性，因此大多采用RS-485通信方式。另外，因为数据具有重复性，个别中途信息的丢失不影响分析判断，所以对通信的可靠性要求也不高。如果需要考虑故障发生时刻的事故追忆功能，或者状态监测数据的相容性，则必须考虑通信系统的带宽和可靠性，并且支持精确时标信号的传输，这要求对现有站内测量系统的通信方式进行改造或者技术升级。在本项目中，采用支持自愈功能的环网通信技术解决这个问题，环网络是一系列的封闭节点集，其中每一节点都与通信设备相连。ＳＤＨ组成环网络可以通过富余的带宽或网络设备来自动恢复网络发生故障时的业务。</w:t>
      </w:r>
    </w:p>
    <w:p>
      <w:pPr>
        <w:pStyle w:val="18"/>
        <w:rPr>
          <w:rFonts w:ascii="宋体" w:hAnsi="宋体"/>
          <w:color w:val="auto"/>
        </w:rPr>
      </w:pPr>
      <w:r>
        <w:rPr>
          <w:rFonts w:hint="eastAsia" w:ascii="宋体" w:hAnsi="宋体"/>
          <w:color w:val="auto"/>
        </w:rPr>
        <w:t>（</w:t>
      </w:r>
      <w:r>
        <w:rPr>
          <w:rFonts w:ascii="宋体" w:hAnsi="宋体"/>
          <w:color w:val="auto"/>
        </w:rPr>
        <w:t>2</w:t>
      </w:r>
      <w:r>
        <w:rPr>
          <w:rFonts w:hint="eastAsia" w:ascii="宋体" w:hAnsi="宋体"/>
          <w:color w:val="auto"/>
        </w:rPr>
        <w:t>）研发大容量、高可靠的状态数据存储与安全隔离单元。</w:t>
      </w:r>
    </w:p>
    <w:p>
      <w:pPr>
        <w:pStyle w:val="18"/>
        <w:tabs>
          <w:tab w:val="clear" w:pos="630"/>
        </w:tabs>
        <w:rPr>
          <w:rFonts w:ascii="宋体" w:hAnsi="宋体"/>
          <w:color w:val="auto"/>
        </w:rPr>
      </w:pPr>
      <w:r>
        <w:rPr>
          <w:rFonts w:hint="eastAsia" w:ascii="宋体" w:hAnsi="宋体"/>
          <w:color w:val="auto"/>
        </w:rPr>
        <w:t>应答：满足。基于自愈环工业以太网络的通信可以解决带宽和可靠性问题，在此基础上，采用基于嵌入式Linux操作系统、FLASH电子硬盘、优选文件系统和实时数据库，规划采样数据及存储方法，并对开关柜状态参数的高频采样数据进行必要的压缩处理，以提高存储设备的可靠性、数据的存储能力和性价比。此外，本项目状态数据存储单元具有安全性要求，同时需考虑对事故的隔离，确保事故期间所采数据尽量完整，因此还需要考虑该单元的机箱结构和安装方式，为站端软件实现开关柜事故追溯分析奠定数据基础。</w:t>
      </w:r>
    </w:p>
    <w:p>
      <w:pPr>
        <w:pStyle w:val="18"/>
        <w:rPr>
          <w:rFonts w:ascii="宋体" w:hAnsi="宋体"/>
          <w:color w:val="auto"/>
        </w:rPr>
      </w:pPr>
      <w:r>
        <w:rPr>
          <w:rFonts w:hint="eastAsia" w:ascii="宋体" w:hAnsi="宋体"/>
          <w:color w:val="auto"/>
        </w:rPr>
        <w:t>（3） 研制新型弧光保护。</w:t>
      </w:r>
    </w:p>
    <w:p>
      <w:pPr>
        <w:pStyle w:val="18"/>
        <w:rPr>
          <w:rFonts w:ascii="宋体" w:hAnsi="宋体"/>
          <w:color w:val="auto"/>
        </w:rPr>
      </w:pPr>
      <w:r>
        <w:rPr>
          <w:rFonts w:hint="eastAsia" w:ascii="宋体" w:hAnsi="宋体"/>
          <w:color w:val="auto"/>
        </w:rPr>
        <w:t>应答：满足。针对传统基于馈线电流保护的弧光保护存在盲区（死角）以及单弧光判据易导致误动的问题，研制能准确、可控、快速动作的开关柜新型弧光保护。其核心是无盲区（死角）的弧光保护的选择性跳闸逻辑设计，采用进线或母联电流、母线零序电压的“或”关系结果作为电气量判据，和弧光判据再形成“与”保护逻辑。其中，采用点测型弧光传感器的弧光越限信号，可判断故障发生点（如母线室、开关室或电缆室），并给出切除故障馈线或者整段母线的跳闸命令，使得弧光保护动作在具备选择性（可缩小停电范围）的同时不牺牲动作速度（可确保人身安全、降低设备损失）；同时，相对于采用馈线电流，采用进线和母联电流可以大幅降低弧光保护系统的建设成本、缩短安装时间，还可以解决老站改造时经常遇到的馈线 CT 保护电流线圈不足的问题。</w:t>
      </w:r>
    </w:p>
    <w:p>
      <w:pPr>
        <w:pStyle w:val="18"/>
        <w:rPr>
          <w:rFonts w:ascii="宋体" w:hAnsi="宋体"/>
          <w:color w:val="auto"/>
        </w:rPr>
      </w:pPr>
      <w:r>
        <w:rPr>
          <w:rFonts w:hint="eastAsia" w:ascii="宋体" w:hAnsi="宋体"/>
          <w:color w:val="auto"/>
        </w:rPr>
        <w:t>（4） 研发高压开关柜故障监测、防控与事故追溯辅助分析软件。</w:t>
      </w:r>
    </w:p>
    <w:p>
      <w:pPr>
        <w:pStyle w:val="18"/>
        <w:rPr>
          <w:rFonts w:ascii="宋体" w:hAnsi="宋体"/>
          <w:color w:val="auto"/>
        </w:rPr>
      </w:pPr>
      <w:r>
        <w:rPr>
          <w:rFonts w:hint="eastAsia" w:ascii="宋体" w:hAnsi="宋体"/>
          <w:color w:val="auto"/>
        </w:rPr>
        <w:t>应答：满足。如何将各种监测数据进行有效表达，并给出合理、有效的状态研判结果，是本项目的核心研究内容之一。本项目拟将各种传感器的监测数据汇聚到数据存储单元，研发基于多维状态参数向量的高压开关柜运行状态评估指标体系及其算法，综合开关柜各种参量进行多维度分析，给出可靠的异常或者告警信号、劣化趋势信息和运维建议，实现开关柜的设备台账信息和现场监测数据的融合分析；研发基于实测数据的高压开关柜事故追溯分析模块，并实现基于数据帧的开关柜故障过程回放和推演，以最直观的方式追溯并辅助分析开关柜事故全过程；采用先进的可视化技术，开发面向高压开关柜在线状态监测与事故追溯的可视化站端系统。</w:t>
      </w:r>
    </w:p>
    <w:p>
      <w:pPr>
        <w:pStyle w:val="18"/>
        <w:rPr>
          <w:rFonts w:ascii="宋体" w:hAnsi="宋体"/>
          <w:color w:val="auto"/>
        </w:rPr>
      </w:pPr>
      <w:r>
        <w:rPr>
          <w:rFonts w:hint="eastAsia" w:ascii="宋体" w:hAnsi="宋体"/>
          <w:color w:val="auto"/>
        </w:rPr>
        <w:t>（5） 模拟开关柜典型异常工况，对系统进行试验测试。</w:t>
      </w:r>
    </w:p>
    <w:p>
      <w:pPr>
        <w:pStyle w:val="18"/>
        <w:rPr>
          <w:rFonts w:ascii="宋体" w:hAnsi="宋体"/>
          <w:color w:val="auto"/>
        </w:rPr>
      </w:pPr>
      <w:r>
        <w:rPr>
          <w:rFonts w:hint="eastAsia" w:ascii="宋体" w:hAnsi="宋体"/>
          <w:color w:val="auto"/>
        </w:rPr>
        <w:t>应答：满足。针对开关柜运行过程中的异常工况如果发现和处置不及时、过程安全管理不到位会造成设备的生命周期或运行状态，甚至会导致事故的发生。如正常工作条件、发热异常、局部放电、燃烧/弧光故障、单相接地和相间故障、网络故障等，本项目采用定量模型方法以及黑盒测试方法，对开关柜异常工况以及系统系统功能进行测试；基于定量模型的方法是根据系统运行机理建立对象精确的数学模型，也称基于解析模型的方法。在基于解析模型的工况识别方法中，对象变量具有清晰的物理含义且相互之间因果关系明确。</w:t>
      </w:r>
    </w:p>
    <w:p>
      <w:pPr>
        <w:pStyle w:val="18"/>
        <w:rPr>
          <w:rFonts w:ascii="宋体" w:hAnsi="宋体"/>
          <w:color w:val="auto"/>
        </w:rPr>
      </w:pPr>
      <w:r>
        <w:rPr>
          <w:rFonts w:hint="eastAsia" w:ascii="宋体" w:hAnsi="宋体"/>
          <w:color w:val="auto"/>
        </w:rPr>
        <w:t>5.发包人提供其他资料</w:t>
      </w:r>
    </w:p>
    <w:p>
      <w:pPr>
        <w:pStyle w:val="18"/>
        <w:rPr>
          <w:rFonts w:ascii="宋体" w:hAnsi="宋体"/>
          <w:color w:val="auto"/>
        </w:rPr>
      </w:pPr>
      <w:r>
        <w:rPr>
          <w:rFonts w:hint="eastAsia" w:ascii="宋体" w:hAnsi="宋体"/>
          <w:color w:val="auto"/>
        </w:rPr>
        <w:t>1、图纸：无</w:t>
      </w:r>
    </w:p>
    <w:p>
      <w:pPr>
        <w:pStyle w:val="18"/>
        <w:rPr>
          <w:rFonts w:ascii="宋体" w:hAnsi="宋体"/>
          <w:color w:val="auto"/>
        </w:rPr>
      </w:pPr>
      <w:r>
        <w:rPr>
          <w:rFonts w:hint="eastAsia" w:ascii="宋体" w:hAnsi="宋体"/>
          <w:color w:val="auto"/>
        </w:rPr>
        <w:t>（二）技术标准和发包人要求</w:t>
      </w:r>
    </w:p>
    <w:p>
      <w:pPr>
        <w:pStyle w:val="18"/>
        <w:rPr>
          <w:rFonts w:ascii="宋体" w:hAnsi="宋体"/>
          <w:color w:val="auto"/>
        </w:rPr>
      </w:pPr>
      <w:r>
        <w:rPr>
          <w:rFonts w:hint="eastAsia" w:ascii="宋体" w:hAnsi="宋体"/>
          <w:color w:val="auto"/>
        </w:rPr>
        <w:t>1、技术指标及实施要求</w:t>
      </w:r>
    </w:p>
    <w:p>
      <w:pPr>
        <w:pStyle w:val="18"/>
        <w:rPr>
          <w:rFonts w:ascii="宋体" w:hAnsi="宋体"/>
          <w:color w:val="auto"/>
        </w:rPr>
      </w:pPr>
      <w:r>
        <w:rPr>
          <w:rFonts w:hint="eastAsia" w:ascii="宋体" w:hAnsi="宋体"/>
          <w:color w:val="auto"/>
        </w:rPr>
        <w:t>（1）完成对高压开关柜触头温度、局放、机械特性、红外成像等状态监测参数传感器或数据采集器的改进和技术升级。</w:t>
      </w:r>
    </w:p>
    <w:p>
      <w:pPr>
        <w:widowControl/>
        <w:tabs>
          <w:tab w:val="left" w:pos="2563"/>
        </w:tabs>
        <w:spacing w:line="360" w:lineRule="auto"/>
        <w:ind w:firstLine="420" w:firstLineChars="200"/>
        <w:jc w:val="left"/>
        <w:textAlignment w:val="baseline"/>
        <w:rPr>
          <w:rFonts w:ascii="宋体" w:hAnsi="宋体" w:eastAsia="宋体" w:cs="Times New Roman"/>
          <w:snapToGrid w:val="0"/>
          <w:szCs w:val="20"/>
        </w:rPr>
      </w:pPr>
      <w:r>
        <w:rPr>
          <w:rFonts w:hint="eastAsia" w:ascii="宋体" w:hAnsi="宋体" w:eastAsia="宋体" w:cs="Times New Roman"/>
          <w:snapToGrid w:val="0"/>
          <w:szCs w:val="20"/>
        </w:rPr>
        <w:t>应答：理解，并遵照要求执行。高压开关柜触头温度、局放、机械特性、红外成像等状态监测传感器，在变电站部分现场已经在应用，但是在应用过程中发现了一些问题。</w:t>
      </w:r>
    </w:p>
    <w:p>
      <w:pPr>
        <w:widowControl/>
        <w:tabs>
          <w:tab w:val="left" w:pos="2563"/>
        </w:tabs>
        <w:spacing w:line="360" w:lineRule="auto"/>
        <w:ind w:firstLine="420" w:firstLineChars="200"/>
        <w:jc w:val="left"/>
        <w:textAlignment w:val="baseline"/>
        <w:rPr>
          <w:rFonts w:ascii="宋体" w:hAnsi="宋体" w:eastAsia="宋体" w:cs="Times New Roman"/>
          <w:snapToGrid w:val="0"/>
          <w:szCs w:val="20"/>
        </w:rPr>
      </w:pPr>
      <w:r>
        <w:rPr>
          <w:rFonts w:hint="eastAsia" w:ascii="宋体" w:hAnsi="宋体" w:eastAsia="宋体" w:cs="Times New Roman"/>
          <w:snapToGrid w:val="0"/>
          <w:szCs w:val="20"/>
        </w:rPr>
        <w:t>首先是传感器工作稳定性的问题，用户在使用过程中经常发现传感器不工作或者传感器传输出来的数据有显而易见的错误；我们选取并分析了市场上部分厂家的产品，针对以上问题做了深入研究分析，发现部分传感器在抗干扰方面有改进的空间。于是我们分析了传感器干扰的种类以及干扰进入的方式。在我们的传感器设计中增强了电路布板设计，包括电路的走向，宽度，接地系统的设计；同时增加了消除和抑制干扰的电路、采用了隔离屏蔽措施。</w:t>
      </w:r>
    </w:p>
    <w:p>
      <w:pPr>
        <w:widowControl/>
        <w:tabs>
          <w:tab w:val="left" w:pos="2563"/>
        </w:tabs>
        <w:spacing w:line="360" w:lineRule="auto"/>
        <w:ind w:firstLine="420" w:firstLineChars="200"/>
        <w:jc w:val="left"/>
        <w:textAlignment w:val="baseline"/>
        <w:rPr>
          <w:rFonts w:ascii="宋体" w:hAnsi="宋体" w:eastAsia="宋体" w:cs="Times New Roman"/>
          <w:snapToGrid w:val="0"/>
          <w:szCs w:val="20"/>
        </w:rPr>
      </w:pPr>
      <w:r>
        <w:rPr>
          <w:rFonts w:hint="eastAsia" w:ascii="宋体" w:hAnsi="宋体" w:eastAsia="宋体" w:cs="Times New Roman"/>
          <w:snapToGrid w:val="0"/>
          <w:szCs w:val="20"/>
        </w:rPr>
        <w:t>其次是施工安装的问题；在停电安装施工过程中，有部分传感器的安装方式与尺寸大小对被监测设备的安全间隙形成了影响。以开关柜触头温度传感器为例，有的传感器尺寸有38mm*35mm*24mm，这个尺寸放在动触头与静触头处就有很大难度，即使安装进入对监测设备，对被测的安全间隙也会造成很大影响。我们针对这些问题，做小尺寸，经过我们的改进，接触式无源无线测温传感器我们缩小到了26mm*22mm*9.8mm，同时采用硅钢带安装方式安装，方便可靠。于此同时，针对用户关心的安全间距的担心，我们研发了一款内窥式红外成像传感器，它是基于红外成像测温的原理实现的传感器，一方面可以实现其视野范围内基于点阵的无死角的温度分布数据，其次因其无需与被测物体接触，安装方式灵活、电气安全性好、测温范围广，另外，这种传感器还可以以图像方式获得温度场的效果，更有利于获取真实的温度数据、过滤无效的告警信号。</w:t>
      </w:r>
    </w:p>
    <w:p>
      <w:pPr>
        <w:adjustRightInd w:val="0"/>
        <w:snapToGrid w:val="0"/>
        <w:ind w:firstLine="420" w:firstLineChars="200"/>
        <w:jc w:val="center"/>
        <w:rPr>
          <w:color w:val="FF0000"/>
        </w:rPr>
      </w:pPr>
      <w:r>
        <w:rPr>
          <w:rFonts w:hint="eastAsia"/>
          <w:color w:val="FF0000"/>
        </w:rPr>
        <w:drawing>
          <wp:inline distT="0" distB="0" distL="114300" distR="114300">
            <wp:extent cx="4794885" cy="2486660"/>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4794885" cy="2486660"/>
                    </a:xfrm>
                    <a:prstGeom prst="rect">
                      <a:avLst/>
                    </a:prstGeom>
                    <a:noFill/>
                    <a:ln>
                      <a:noFill/>
                    </a:ln>
                  </pic:spPr>
                </pic:pic>
              </a:graphicData>
            </a:graphic>
          </wp:inline>
        </w:drawing>
      </w:r>
    </w:p>
    <w:p>
      <w:pPr>
        <w:widowControl/>
        <w:tabs>
          <w:tab w:val="left" w:pos="2563"/>
        </w:tabs>
        <w:spacing w:line="360" w:lineRule="auto"/>
        <w:ind w:firstLine="420" w:firstLineChars="200"/>
        <w:jc w:val="left"/>
        <w:textAlignment w:val="baseline"/>
        <w:rPr>
          <w:rFonts w:ascii="仿宋" w:hAnsi="仿宋" w:eastAsia="仿宋" w:cs="仿宋"/>
          <w:color w:val="000000"/>
          <w:szCs w:val="21"/>
        </w:rPr>
      </w:pPr>
    </w:p>
    <w:p>
      <w:pPr>
        <w:widowControl/>
        <w:tabs>
          <w:tab w:val="left" w:pos="2563"/>
        </w:tabs>
        <w:spacing w:line="360" w:lineRule="auto"/>
        <w:ind w:firstLine="420" w:firstLineChars="200"/>
        <w:jc w:val="left"/>
        <w:textAlignment w:val="baseline"/>
        <w:rPr>
          <w:rFonts w:ascii="宋体" w:hAnsi="宋体"/>
        </w:rPr>
      </w:pPr>
      <w:r>
        <w:rPr>
          <w:rFonts w:hint="eastAsia" w:ascii="宋体" w:hAnsi="宋体" w:eastAsia="宋体" w:cs="Times New Roman"/>
          <w:snapToGrid w:val="0"/>
          <w:szCs w:val="20"/>
        </w:rPr>
        <w:t>最后，是协作分析问题。上述各类传感器在现场的应用基本上是各自为政，相互之间没有联系，也不相互通信，有的数据在调度端数据得到了收集，展示，也仅仅停留在简单的数据呈现于超限值告警阶段。他们之间不能融合有来至多方面的原因，一是产品来自各个厂家，不集成化；二是最根本的一点，各个传感器之间没有统一的时钟作为标尺，每个传感器的采样周期是不同的，后端用来分析的时候，没有统一的时标，无法做到数据对齐，就算拿到各种数据，对于后端的分析也是无用武之地。针对这个问题，我们对传感器做了集成化考量，其次我们为了满足对时精度的要求，我们对每个传感器都做了B码对时，这样后端拿到带时标的数据，通过时标对齐方式，可以融合各种参数，对开关柜进行多维度的状态分析。</w:t>
      </w:r>
    </w:p>
    <w:p>
      <w:pPr>
        <w:pStyle w:val="18"/>
        <w:rPr>
          <w:rFonts w:ascii="宋体" w:hAnsi="宋体"/>
          <w:color w:val="auto"/>
        </w:rPr>
      </w:pPr>
      <w:r>
        <w:rPr>
          <w:rFonts w:hint="eastAsia" w:ascii="宋体" w:hAnsi="宋体"/>
          <w:color w:val="auto"/>
        </w:rPr>
        <w:t>（2）完成对变电站内高压开关柜状态监测系统的通信方式改进和技术升级。</w:t>
      </w:r>
    </w:p>
    <w:p>
      <w:pPr>
        <w:pStyle w:val="18"/>
        <w:rPr>
          <w:rFonts w:ascii="宋体" w:hAnsi="宋体"/>
          <w:color w:val="auto"/>
        </w:rPr>
      </w:pPr>
      <w:r>
        <w:rPr>
          <w:rFonts w:hint="eastAsia" w:ascii="宋体" w:hAnsi="宋体"/>
        </w:rPr>
        <w:t>应答：理解，并遵照要求执行</w:t>
      </w:r>
      <w:r>
        <w:rPr>
          <w:rFonts w:hint="eastAsia" w:ascii="宋体" w:hAnsi="宋体"/>
          <w:color w:val="auto"/>
        </w:rPr>
        <w:t>。开关柜内部属于强电磁场环境，尤其是断路器动作、拉（燃）弧期间，其辐射的电磁干扰信号可能导致电子产品工作异常、通信中断等问题。传感器和通信网路必须具备强大的抗干扰能力，确保重大事件条件下的可靠工作，才能有效记录期间的状态数据。另外，因为无线通信的带宽低、稳定性差，本项目拟采用有线通信，其中光纤通信因具备极强的抗干扰能力成为首选。但传感器、数据采集器等之间的物理连接可能因各种原因导致松动或者失效，从而使得监测数据不完整或者中断。在本项目中，拟采用支持自愈功能的环网通信技术解决这个问题。</w:t>
      </w:r>
    </w:p>
    <w:p>
      <w:pPr>
        <w:pStyle w:val="18"/>
        <w:rPr>
          <w:rFonts w:ascii="宋体" w:hAnsi="宋体"/>
          <w:color w:val="auto"/>
        </w:rPr>
      </w:pPr>
      <w:r>
        <w:rPr>
          <w:rFonts w:hint="eastAsia" w:ascii="宋体" w:hAnsi="宋体"/>
          <w:color w:val="auto"/>
        </w:rPr>
        <w:t>（3）完成大容量、高可靠的状态数据存储与安全隔离单元研制，提交数据存储与安全隔离终端单元的安装和施工方案。</w:t>
      </w:r>
    </w:p>
    <w:p>
      <w:pPr>
        <w:pStyle w:val="18"/>
        <w:rPr>
          <w:rFonts w:ascii="宋体" w:hAnsi="宋体"/>
        </w:rPr>
      </w:pPr>
      <w:r>
        <w:rPr>
          <w:rFonts w:hint="eastAsia" w:ascii="宋体" w:hAnsi="宋体"/>
        </w:rPr>
        <w:t>应答：理解，并遵照要求执行。为了给开关柜的状态监测与事故防控提供完整的监测数据，采样数据的存储周期需要足够长，以确保有足够的负荷和环境周期，以利于分析结果的准确性和典型性。由于全站开关柜的监测数据多，格式也不尽相同（如电流、温度采用单一浮点数表示，局放则为多维频谱图、视频则为流媒体数据等），需要有效记录这个数据。为了便于施工及管理，各种监测传感器、采集器和集中器都安装在开关柜本体上（或里面），或者在紧挨着开关柜旁边增设一面监测屏用于集中安装部分设施，当发生严重的拉弧或者燃爆事故时，这些监测设备往往毁于一旦，关键时刻的数据全部丢失。因此研发了一种防爆的特定装置，确保监测数据的完整性和安全性。</w:t>
      </w:r>
    </w:p>
    <w:p>
      <w:pPr>
        <w:pStyle w:val="18"/>
        <w:rPr>
          <w:rFonts w:ascii="宋体" w:hAnsi="宋体"/>
          <w:color w:val="auto"/>
        </w:rPr>
      </w:pPr>
      <w:r>
        <w:rPr>
          <w:rFonts w:hint="eastAsia" w:ascii="宋体" w:hAnsi="宋体"/>
          <w:color w:val="auto"/>
        </w:rPr>
        <w:t>（4）完成新型开关柜弧光保护技术筒体方案设计，完成新型弧光保护硬件装置研制。</w:t>
      </w:r>
    </w:p>
    <w:p>
      <w:pPr>
        <w:pStyle w:val="18"/>
        <w:rPr>
          <w:rFonts w:ascii="宋体" w:hAnsi="宋体"/>
        </w:rPr>
      </w:pPr>
      <w:r>
        <w:rPr>
          <w:rFonts w:hint="eastAsia" w:ascii="宋体" w:hAnsi="宋体"/>
        </w:rPr>
        <w:t>应答：理解，并遵照要求执行。目前有效降低弧光危害的关键在于尽快切断电源，熄灭电弧。只有总切除时间小于85ms，才能使设备不遭受损害，总切除时间大于100ms，将会对设备造成不同程度的损害，扩大停电损失，甚至危及人生安全。弧光保护能在7～20ms内发出跳闸命令，加上开关40～80ms的动作延时，故障总切除时间在50～100ms，可有效保护电力设备和人生安全。弧光传感器可装设在开关设备的多数不同位置，根据弧光传感器的实际物理位置不同可实现保护分区的功能，快速定位故障点，以便减少停电处理时间，使快速恢复供电成为可能。此外，弧光保护还可以连续检测故障前期相对微弱的弧光信号、强电晕等，如发生较为严重的爬电、电晕趋势性加强等，可及时给出告警，也有利于把事故消除在萌芽状态。通过无盲区（死角）的弧光保护的选择性跳闸逻辑设计，采用进线或母联电流、母线零序电压的“或”关系结果作为电气量判据，和弧光判据再形成“与”保护逻辑，完成准确、可控、快速动作的开关柜新型弧光保护研制。</w:t>
      </w:r>
    </w:p>
    <w:p>
      <w:pPr>
        <w:pStyle w:val="18"/>
        <w:rPr>
          <w:rFonts w:ascii="宋体" w:hAnsi="宋体"/>
          <w:color w:val="auto"/>
        </w:rPr>
      </w:pPr>
      <w:r>
        <w:rPr>
          <w:rFonts w:hint="eastAsia" w:ascii="宋体" w:hAnsi="宋体"/>
          <w:color w:val="auto"/>
        </w:rPr>
        <w:t>（5）完成基于多维状态参数向量的高压开关柜运行状态评估模型设计，构架基于实测数据的高压开关柜事故追溯分析模型。</w:t>
      </w:r>
    </w:p>
    <w:p>
      <w:pPr>
        <w:widowControl/>
        <w:spacing w:after="0" w:line="240" w:lineRule="auto"/>
        <w:ind w:firstLine="420"/>
        <w:jc w:val="left"/>
        <w:rPr>
          <w:rFonts w:ascii="宋体" w:hAnsi="宋体" w:eastAsia="宋体"/>
          <w:szCs w:val="21"/>
        </w:rPr>
      </w:pPr>
      <w:r>
        <w:rPr>
          <w:rFonts w:hint="eastAsia" w:ascii="宋体" w:hAnsi="宋体"/>
        </w:rPr>
        <w:t>应答：理解，并遵照要求执行。</w:t>
      </w:r>
      <w:r>
        <w:rPr>
          <w:rFonts w:hint="eastAsia" w:ascii="宋体" w:hAnsi="宋体" w:eastAsia="宋体" w:cs="Times New Roman"/>
          <w:snapToGrid w:val="0"/>
          <w:szCs w:val="20"/>
        </w:rPr>
        <w:t>依据开关柜的状态信息类型不同，对各种信息进行分类，并将开关柜的状态评估分为2个层次，充分考虑评估过程中存在的模糊性和随机性等不确定性问题，并运用最优权重方法对各指标进行赋权，建立了基于正态云模型和D-S证据理论的高压开关柜运行状态评估模型。为了对开关柜运行状态尽可能的进行准确评估，在参考了国家电网公司的Q/GDW 613-2011标准《12(7.2) kV～40.5 kV交流金属封闭开关设备状态评价导则》和前人的研究成果的基础上，本项目对影响开关柜评价的指标进行了选取，建立2 个层次的开关柜状态评估体系。第1 层为子系统评估，包含绝缘状态、电气状态、机械状态以及历史记录等子系统评估，该层根据检测的指标数据对相关的子系统状态进行评估；第2层为开关柜整体评估，融合子系统的评估结果对开关柜整体运行状态进行评估。构建了绝缘状态、电气状态、机械状态和历史记录4个一级评估指标体系。由于选取的评估指标存在数量较多且等级、单位不尽相同等因素，需要对各指标进行归一化处理。本项目采用相对劣化度的方法进行归一</w:t>
      </w:r>
      <w:r>
        <w:rPr>
          <w:rFonts w:hint="eastAsia" w:ascii="宋体" w:hAnsi="宋体" w:eastAsia="宋体"/>
          <w:szCs w:val="21"/>
        </w:rPr>
        <w:t>化。正态云模型是定性概念与定量表示之间的不确定性转换模型，它兼顾了知识表示中的模糊性和随机性。将高压开关柜各状态等级相对劣化度界限值依据正态云模型进行扩展从而得到各等级的正态云模型。作为一种不确定的推理方法，D-S证据融合方法对避免主观权重对开关柜整体评估结果影响有良好的效果，所以采用D-S 证据融合方法对开关柜整体运行状态进行评估。</w:t>
      </w:r>
    </w:p>
    <w:p>
      <w:pPr>
        <w:widowControl/>
        <w:spacing w:after="0" w:line="240" w:lineRule="auto"/>
        <w:ind w:firstLine="420" w:firstLineChars="200"/>
        <w:jc w:val="left"/>
        <w:rPr>
          <w:rFonts w:ascii="宋体" w:hAnsi="宋体" w:eastAsia="宋体"/>
          <w:bCs/>
          <w:kern w:val="44"/>
          <w:sz w:val="28"/>
          <w:szCs w:val="44"/>
        </w:rPr>
      </w:pPr>
      <w:r>
        <w:rPr>
          <w:rFonts w:ascii="宋体" w:hAnsi="宋体" w:eastAsia="宋体"/>
          <w:bCs/>
          <w:kern w:val="44"/>
          <w:szCs w:val="21"/>
        </w:rPr>
        <w:t>本项目提出</w:t>
      </w:r>
      <w:r>
        <w:rPr>
          <w:rFonts w:hint="eastAsia" w:ascii="宋体" w:hAnsi="宋体" w:eastAsia="宋体"/>
          <w:bCs/>
          <w:kern w:val="44"/>
          <w:szCs w:val="21"/>
        </w:rPr>
        <w:t xml:space="preserve">基于关联规则挖掘的高压开关柜事故追溯分析模型。根据事故事件的特点，建立高压开关柜事故诱因分析体系，对不同类型的事故进行布尔离散化，并基于关联规则挖掘提出事故诱因的诱发度计算方法，运用Apriori算法进行深度关联规则挖掘，并根据强关联规则对关键诱因进行筛选和分析。关联规则是一种用于寻找数据项之间隐藏关系、描述数据之间密切程度的搜索式方法，其挖掘的对象一般是事务数据集。设有N个事务集构成的事务数据集D ={T1,T2，…，TN}，其中Tj (j =1，2,…,N) </w:t>
      </w:r>
      <w:r>
        <w:rPr>
          <w:rFonts w:ascii="宋体" w:hAnsi="宋体" w:eastAsia="宋体"/>
          <w:bCs/>
          <w:kern w:val="44"/>
          <w:szCs w:val="21"/>
        </w:rPr>
        <w:t>=</w:t>
      </w:r>
      <w:r>
        <w:rPr>
          <w:rFonts w:hint="eastAsia" w:ascii="宋体" w:hAnsi="宋体" w:eastAsia="宋体"/>
          <w:bCs/>
          <w:kern w:val="44"/>
          <w:szCs w:val="21"/>
        </w:rPr>
        <w:t xml:space="preserve">称为事务数据集D </w:t>
      </w:r>
      <w:r>
        <w:rPr>
          <w:rFonts w:ascii="宋体" w:hAnsi="宋体" w:eastAsia="宋体"/>
          <w:bCs/>
          <w:kern w:val="44"/>
          <w:szCs w:val="21"/>
        </w:rPr>
        <w:t>=</w:t>
      </w:r>
      <w:r>
        <w:rPr>
          <w:rFonts w:hint="eastAsia" w:ascii="宋体" w:hAnsi="宋体" w:eastAsia="宋体"/>
          <w:bCs/>
          <w:kern w:val="44"/>
          <w:szCs w:val="21"/>
        </w:rPr>
        <w:t>的事务集，构成事务集Tj的元素称为事务集的项Ik(k=1，2…，p，p为该事务集中项的数量)。D中所有项的集合为项集I={I1,</w:t>
      </w:r>
      <w:r>
        <w:rPr>
          <w:rFonts w:ascii="宋体" w:hAnsi="宋体" w:eastAsia="宋体"/>
          <w:bCs/>
          <w:kern w:val="44"/>
          <w:szCs w:val="21"/>
        </w:rPr>
        <w:t>I2</w:t>
      </w:r>
      <w:r>
        <w:rPr>
          <w:rFonts w:hint="eastAsia" w:ascii="宋体" w:hAnsi="宋体" w:eastAsia="宋体"/>
          <w:bCs/>
          <w:kern w:val="44"/>
          <w:szCs w:val="21"/>
        </w:rPr>
        <w:t>,…，Im}，m为项的总数。关联规则分析均是针对离散的布尔型数据，且数据内需要确定先导和后继关系，因此，必须对事故事件数据进行预处理，即生成包含“事故类型”与“事故诱因”的布尔型离散事故数据。从历史实测数据中，可以甄别出某一事故事件的事故类型和诱因，将布尔矩阵中对应项置1，反之置0，对大量的历史事故事件报告进行挖掘，即可得到映射后的布尔型事故事件信息矩阵T</w:t>
      </w:r>
      <w:r>
        <w:rPr>
          <w:rFonts w:ascii="宋体" w:hAnsi="宋体" w:eastAsia="宋体"/>
          <w:bCs/>
          <w:kern w:val="44"/>
          <w:szCs w:val="21"/>
        </w:rPr>
        <w:t>.</w:t>
      </w:r>
      <w:r>
        <w:rPr>
          <w:rFonts w:hint="eastAsia"/>
        </w:rPr>
        <w:t xml:space="preserve"> </w:t>
      </w:r>
      <w:r>
        <w:rPr>
          <w:rFonts w:hint="eastAsia" w:ascii="宋体" w:hAnsi="宋体" w:eastAsia="宋体"/>
          <w:bCs/>
          <w:kern w:val="44"/>
          <w:szCs w:val="21"/>
        </w:rPr>
        <w:t>T的元素为第j 个事故事件对应第i个事故信息的布尔值，需要注意的是，对于每一个事故事件的事故信息( 包括事故类型和事故诱因)，为由该类事故信息的所有类别组成的一个行向量。随着事故分析水平、体系的不断提高和完善，可获得的事故诱因将越来越多，势必会造成关联规则分析及事故机理揭示的复杂度大幅提升，甚至会因为算法复杂度过高而无法计算。因此在关联规则挖掘前，首先要根据诱发度对事故诱因进行筛选，以降低事故诱因维度，进而提高关联规则挖掘的准确性.</w:t>
      </w:r>
      <w:r>
        <w:rPr>
          <w:rFonts w:hint="eastAsia"/>
        </w:rPr>
        <w:t xml:space="preserve"> </w:t>
      </w:r>
      <w:r>
        <w:rPr>
          <w:rFonts w:hint="eastAsia" w:ascii="宋体" w:hAnsi="宋体" w:eastAsia="宋体"/>
          <w:bCs/>
          <w:kern w:val="44"/>
          <w:szCs w:val="21"/>
        </w:rPr>
        <w:t>Apriori 算法是挖掘布尔关联规则频繁项集的重要算法，基于两阶段频繁项集思想的递推算法，利用逐层搜索的迭代方法来获得频繁项集，首先找到频繁1 项集的集合，记为L1，L1用于搜寻频繁2 项集的集合L2，依此类推，直至搜索完所有频繁项集。</w:t>
      </w:r>
    </w:p>
    <w:p>
      <w:pPr>
        <w:pStyle w:val="18"/>
        <w:rPr>
          <w:rFonts w:ascii="宋体" w:hAnsi="宋体"/>
          <w:color w:val="auto"/>
        </w:rPr>
      </w:pPr>
      <w:r>
        <w:rPr>
          <w:rFonts w:hint="eastAsia" w:ascii="宋体" w:hAnsi="宋体"/>
          <w:color w:val="auto"/>
        </w:rPr>
        <w:t>（6）完成高压开关柜综合在线监测、综合评估与综合分析模型和软件设计，形成集成弧光保护的高压开关柜故障监测、防控及事故追溯一体化系统。</w:t>
      </w:r>
    </w:p>
    <w:p>
      <w:pPr>
        <w:adjustRightInd w:val="0"/>
        <w:snapToGrid w:val="0"/>
        <w:ind w:firstLine="420" w:firstLineChars="200"/>
      </w:pPr>
      <w:r>
        <w:rPr>
          <w:rFonts w:hint="eastAsia" w:ascii="宋体" w:hAnsi="宋体"/>
        </w:rPr>
        <w:t>应答：理解，并遵照要求执行。</w:t>
      </w:r>
      <w:r>
        <w:rPr>
          <w:rFonts w:hint="eastAsia"/>
        </w:rPr>
        <w:t>集成弧光保护的高压开关柜故障监测、防控及事故追溯一体化系统主要包括：1）基于多维状态参数向量的高压开关柜运行状态评估模块；2）基于实测数据的高压开关柜事故追溯分析模块；3）可视化站端系统。</w:t>
      </w:r>
    </w:p>
    <w:p>
      <w:pPr>
        <w:numPr>
          <w:ilvl w:val="0"/>
          <w:numId w:val="6"/>
        </w:numPr>
        <w:adjustRightInd w:val="0"/>
        <w:snapToGrid w:val="0"/>
        <w:spacing w:after="0" w:line="360" w:lineRule="auto"/>
      </w:pPr>
      <w:r>
        <w:rPr>
          <w:rFonts w:hint="eastAsia"/>
        </w:rPr>
        <w:t>基于多维状态参数向量的高压开关柜运行状态评估模块</w:t>
      </w:r>
    </w:p>
    <w:p>
      <w:pPr>
        <w:adjustRightInd w:val="0"/>
        <w:snapToGrid w:val="0"/>
        <w:ind w:firstLine="420" w:firstLineChars="200"/>
        <w:rPr>
          <w:b/>
        </w:rPr>
      </w:pPr>
      <w:r>
        <w:rPr>
          <w:rFonts w:hint="eastAsia"/>
        </w:rPr>
        <w:t>针对高压开关柜不同设备功能室中的电流电压、局放、温湿度、机械特性、弧光等多维状态参数，首先研究数据清洗与处理方法，剔除较高频采集状态数据中的坏数据，基于插值方法提出漏采数据的补充算法；利用长期实测历史数据，通过皮尔逊相关系数法，观察较大规模多维状态参数之间的关联性，并挖掘其量化关联模式，辨识并解释不同型号开关柜间“同样负载电流温度为何造成不同运行温度“的问题；基于模糊层次评估理论，构建基于多维状态参数向量的开关柜运行状态与健康程度在线诊断算法，实现运行水平的实时评估，同时，研究基于综合判据的阈值越限报警，为开关柜运行异常提供预警判据。</w:t>
      </w:r>
    </w:p>
    <w:p>
      <w:pPr>
        <w:numPr>
          <w:ilvl w:val="0"/>
          <w:numId w:val="6"/>
        </w:numPr>
        <w:adjustRightInd w:val="0"/>
        <w:snapToGrid w:val="0"/>
        <w:spacing w:after="0" w:line="360" w:lineRule="auto"/>
        <w:rPr>
          <w:b/>
        </w:rPr>
      </w:pPr>
      <w:r>
        <w:rPr>
          <w:rFonts w:hint="eastAsia"/>
        </w:rPr>
        <w:t>基于实测数据的高压开关柜事故追溯分析模块</w:t>
      </w:r>
    </w:p>
    <w:p>
      <w:pPr>
        <w:adjustRightInd w:val="0"/>
        <w:snapToGrid w:val="0"/>
        <w:ind w:firstLine="420" w:firstLineChars="200"/>
      </w:pPr>
      <w:r>
        <w:rPr>
          <w:rFonts w:hint="eastAsia"/>
        </w:rPr>
        <w:t>针对新型弧光保护动作特点，构建保护动作记录与分析模块，自动形成保护动作案例库；设计针对数据采集与安全隔离单元传输、存储特点的高密度状态数据接口，以及适应于变时间粒度、图形图像存储的数据结构；基于事故前后（甚至直到设备损毁）的高密度状态数据，研发图形化的数据帧查询工具，能以友好互动，方便地检索开关柜事故中的数据轨迹、图形图像演变状态；基于变点理论，设计时间轴上的状态突变点，提取相应时间窗内的特征状态参数，研发基于事故时序的开关柜状态特征数据帧自动排列模块，实现事故追溯与辅助分析。</w:t>
      </w:r>
    </w:p>
    <w:p>
      <w:pPr>
        <w:numPr>
          <w:ilvl w:val="0"/>
          <w:numId w:val="6"/>
        </w:numPr>
        <w:adjustRightInd w:val="0"/>
        <w:snapToGrid w:val="0"/>
        <w:spacing w:after="0" w:line="360" w:lineRule="auto"/>
        <w:rPr>
          <w:b/>
        </w:rPr>
      </w:pPr>
      <w:r>
        <w:rPr>
          <w:rFonts w:hint="eastAsia"/>
        </w:rPr>
        <w:t>可视化站端系统</w:t>
      </w:r>
    </w:p>
    <w:p>
      <w:pPr>
        <w:pStyle w:val="18"/>
        <w:rPr>
          <w:rFonts w:ascii="宋体" w:hAnsi="宋体"/>
          <w:color w:val="auto"/>
        </w:rPr>
      </w:pPr>
      <w:r>
        <w:rPr>
          <w:rFonts w:hint="eastAsia"/>
        </w:rPr>
        <w:t>根据项目硬件架构，研究构建合理的可视化站端系统架构；基于图模一体化的设计思想，针对运行状态评估、多维数据关联分析、事故追溯分析等功能模块，研发具有响应速度快、动态友好展示功能的在线状态监测、评估及事故追溯站端系统</w:t>
      </w:r>
      <w:r>
        <w:rPr>
          <w:rFonts w:hint="eastAsia" w:ascii="宋体" w:hAnsi="宋体"/>
          <w:color w:val="auto"/>
        </w:rPr>
        <w:t>。</w:t>
      </w:r>
    </w:p>
    <w:p>
      <w:pPr>
        <w:pStyle w:val="18"/>
        <w:rPr>
          <w:rFonts w:ascii="宋体" w:hAnsi="宋体"/>
          <w:color w:val="auto"/>
        </w:rPr>
      </w:pPr>
      <w:r>
        <w:rPr>
          <w:rFonts w:hint="eastAsia" w:ascii="宋体" w:hAnsi="宋体"/>
          <w:color w:val="auto"/>
        </w:rPr>
        <w:t>（7）构造系统试验高压开关柜一面，用以测试项目软硬件系统研发成果，完成多类型故障模拟，包括（正常工作条件、发热异常、局部放电、燃烧/弧光故障、单相接地和相间故障、网络故障等），形成完整的试验监测/数据记录，用于对成果性能进行定量评估。</w:t>
      </w:r>
    </w:p>
    <w:p>
      <w:pPr>
        <w:pStyle w:val="18"/>
        <w:rPr>
          <w:rFonts w:ascii="宋体" w:hAnsi="宋体"/>
        </w:rPr>
      </w:pPr>
      <w:r>
        <w:rPr>
          <w:rFonts w:hint="eastAsia" w:ascii="宋体" w:hAnsi="宋体"/>
        </w:rPr>
        <w:t>应答：理解，并遵照要求执行。根据现场实际环境，构造高压开关柜一面、搭建网络以及可视化站端系统，模拟现场环境完成异常工况以及系统功能测试， 并提供测试报告，测试项包含且不限于以下测试项：</w:t>
      </w:r>
    </w:p>
    <w:tbl>
      <w:tblPr>
        <w:tblStyle w:val="14"/>
        <w:tblW w:w="74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shd w:val="pct20" w:color="auto" w:fill="auto"/>
          </w:tcPr>
          <w:p>
            <w:pPr>
              <w:jc w:val="center"/>
              <w:rPr>
                <w:rFonts w:ascii="Times New Roman" w:hAnsi="Times New Roman"/>
                <w:b/>
              </w:rPr>
            </w:pPr>
            <w:r>
              <w:rPr>
                <w:rFonts w:hint="eastAsia" w:ascii="Times New Roman" w:hAnsi="宋体"/>
                <w:b/>
              </w:rPr>
              <w:t>序号</w:t>
            </w:r>
          </w:p>
        </w:tc>
        <w:tc>
          <w:tcPr>
            <w:tcW w:w="6237" w:type="dxa"/>
            <w:shd w:val="pct20" w:color="auto" w:fill="auto"/>
          </w:tcPr>
          <w:p>
            <w:pPr>
              <w:jc w:val="center"/>
              <w:rPr>
                <w:rFonts w:ascii="Times New Roman" w:hAnsi="Times New Roman"/>
                <w:b/>
              </w:rPr>
            </w:pPr>
            <w:r>
              <w:rPr>
                <w:rFonts w:hint="eastAsia" w:ascii="Times New Roman" w:hAnsi="宋体"/>
                <w:b/>
              </w:rPr>
              <w:t>检验项目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w:t>
            </w:r>
          </w:p>
        </w:tc>
        <w:tc>
          <w:tcPr>
            <w:tcW w:w="6237" w:type="dxa"/>
          </w:tcPr>
          <w:p>
            <w:pPr>
              <w:jc w:val="left"/>
              <w:rPr>
                <w:rFonts w:asciiTheme="minorEastAsia" w:hAnsiTheme="minorEastAsia"/>
                <w:bCs/>
                <w:szCs w:val="21"/>
              </w:rPr>
            </w:pPr>
            <w:r>
              <w:rPr>
                <w:rFonts w:hint="eastAsia" w:asciiTheme="minorEastAsia" w:hAnsiTheme="minorEastAsia"/>
                <w:bCs/>
                <w:szCs w:val="21"/>
              </w:rPr>
              <w:t>正常运行条件下功能测试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2</w:t>
            </w:r>
          </w:p>
        </w:tc>
        <w:tc>
          <w:tcPr>
            <w:tcW w:w="6237" w:type="dxa"/>
          </w:tcPr>
          <w:p>
            <w:pPr>
              <w:jc w:val="left"/>
              <w:rPr>
                <w:rFonts w:asciiTheme="minorEastAsia" w:hAnsiTheme="minorEastAsia"/>
                <w:bCs/>
                <w:szCs w:val="21"/>
              </w:rPr>
            </w:pPr>
            <w:r>
              <w:rPr>
                <w:rFonts w:hint="eastAsia" w:asciiTheme="minorEastAsia" w:hAnsiTheme="minorEastAsia"/>
                <w:bCs/>
                <w:szCs w:val="21"/>
              </w:rPr>
              <w:t>过流/电压+弧光故障测试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3</w:t>
            </w:r>
          </w:p>
        </w:tc>
        <w:tc>
          <w:tcPr>
            <w:tcW w:w="6237" w:type="dxa"/>
          </w:tcPr>
          <w:p>
            <w:pPr>
              <w:jc w:val="left"/>
              <w:rPr>
                <w:rFonts w:asciiTheme="minorEastAsia" w:hAnsiTheme="minorEastAsia"/>
                <w:bCs/>
                <w:szCs w:val="21"/>
              </w:rPr>
            </w:pPr>
            <w:r>
              <w:rPr>
                <w:rFonts w:hint="eastAsia" w:asciiTheme="minorEastAsia" w:hAnsiTheme="minorEastAsia"/>
                <w:bCs/>
                <w:szCs w:val="21"/>
              </w:rPr>
              <w:t>局部放电故障测试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4</w:t>
            </w:r>
          </w:p>
        </w:tc>
        <w:tc>
          <w:tcPr>
            <w:tcW w:w="6237" w:type="dxa"/>
          </w:tcPr>
          <w:p>
            <w:pPr>
              <w:jc w:val="left"/>
              <w:rPr>
                <w:rFonts w:asciiTheme="minorEastAsia" w:hAnsiTheme="minorEastAsia"/>
                <w:bCs/>
                <w:szCs w:val="21"/>
              </w:rPr>
            </w:pPr>
            <w:r>
              <w:rPr>
                <w:rFonts w:hint="eastAsia" w:asciiTheme="minorEastAsia" w:hAnsiTheme="minorEastAsia"/>
                <w:bCs/>
                <w:szCs w:val="21"/>
              </w:rPr>
              <w:t>温度发热异常测试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5</w:t>
            </w:r>
          </w:p>
        </w:tc>
        <w:tc>
          <w:tcPr>
            <w:tcW w:w="6237" w:type="dxa"/>
          </w:tcPr>
          <w:p>
            <w:pPr>
              <w:jc w:val="left"/>
              <w:rPr>
                <w:rFonts w:asciiTheme="minorEastAsia" w:hAnsiTheme="minorEastAsia"/>
                <w:bCs/>
                <w:szCs w:val="21"/>
              </w:rPr>
            </w:pPr>
            <w:r>
              <w:rPr>
                <w:rFonts w:hint="eastAsia" w:asciiTheme="minorEastAsia" w:hAnsiTheme="minorEastAsia"/>
                <w:bCs/>
                <w:szCs w:val="21"/>
              </w:rPr>
              <w:t>断路器机械特性测试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6</w:t>
            </w:r>
          </w:p>
        </w:tc>
        <w:tc>
          <w:tcPr>
            <w:tcW w:w="6237" w:type="dxa"/>
          </w:tcPr>
          <w:p>
            <w:pPr>
              <w:jc w:val="left"/>
              <w:rPr>
                <w:rFonts w:asciiTheme="minorEastAsia" w:hAnsiTheme="minorEastAsia"/>
                <w:bCs/>
                <w:szCs w:val="21"/>
              </w:rPr>
            </w:pPr>
            <w:r>
              <w:rPr>
                <w:rFonts w:hint="eastAsia" w:asciiTheme="minorEastAsia" w:hAnsiTheme="minorEastAsia"/>
                <w:bCs/>
                <w:szCs w:val="21"/>
              </w:rPr>
              <w:t>单相接地故障测试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7</w:t>
            </w:r>
          </w:p>
        </w:tc>
        <w:tc>
          <w:tcPr>
            <w:tcW w:w="6237" w:type="dxa"/>
          </w:tcPr>
          <w:p>
            <w:pPr>
              <w:jc w:val="left"/>
              <w:rPr>
                <w:rFonts w:asciiTheme="minorEastAsia" w:hAnsiTheme="minorEastAsia"/>
                <w:bCs/>
                <w:szCs w:val="21"/>
              </w:rPr>
            </w:pPr>
            <w:r>
              <w:rPr>
                <w:rFonts w:hint="eastAsia" w:asciiTheme="minorEastAsia" w:hAnsiTheme="minorEastAsia"/>
                <w:bCs/>
                <w:szCs w:val="21"/>
              </w:rPr>
              <w:t>相间故障测试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8</w:t>
            </w:r>
          </w:p>
        </w:tc>
        <w:tc>
          <w:tcPr>
            <w:tcW w:w="6237" w:type="dxa"/>
          </w:tcPr>
          <w:p>
            <w:pPr>
              <w:jc w:val="left"/>
              <w:rPr>
                <w:rFonts w:asciiTheme="minorEastAsia" w:hAnsiTheme="minorEastAsia"/>
                <w:bCs/>
                <w:szCs w:val="21"/>
              </w:rPr>
            </w:pPr>
            <w:r>
              <w:rPr>
                <w:rFonts w:asciiTheme="minorEastAsia" w:hAnsiTheme="minorEastAsia"/>
                <w:bCs/>
                <w:szCs w:val="21"/>
              </w:rPr>
              <w:t>GPS</w:t>
            </w:r>
            <w:r>
              <w:rPr>
                <w:rFonts w:hint="eastAsia" w:asciiTheme="minorEastAsia" w:hAnsiTheme="minorEastAsia"/>
                <w:bCs/>
                <w:szCs w:val="21"/>
              </w:rPr>
              <w:t>对时功能测试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9</w:t>
            </w:r>
          </w:p>
        </w:tc>
        <w:tc>
          <w:tcPr>
            <w:tcW w:w="6237" w:type="dxa"/>
          </w:tcPr>
          <w:p>
            <w:pPr>
              <w:jc w:val="left"/>
              <w:rPr>
                <w:rFonts w:asciiTheme="minorEastAsia" w:hAnsiTheme="minorEastAsia"/>
                <w:bCs/>
                <w:szCs w:val="21"/>
              </w:rPr>
            </w:pPr>
            <w:r>
              <w:rPr>
                <w:rFonts w:hint="eastAsia" w:asciiTheme="minorEastAsia" w:hAnsiTheme="minorEastAsia"/>
                <w:bCs/>
                <w:szCs w:val="21"/>
              </w:rPr>
              <w:t>通讯测试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10</w:t>
            </w:r>
          </w:p>
        </w:tc>
        <w:tc>
          <w:tcPr>
            <w:tcW w:w="6237" w:type="dxa"/>
          </w:tcPr>
          <w:p>
            <w:pPr>
              <w:jc w:val="left"/>
              <w:rPr>
                <w:rFonts w:asciiTheme="minorEastAsia" w:hAnsiTheme="minorEastAsia"/>
                <w:bCs/>
                <w:szCs w:val="21"/>
              </w:rPr>
            </w:pPr>
            <w:r>
              <w:rPr>
                <w:rFonts w:hint="eastAsia" w:asciiTheme="minorEastAsia" w:hAnsiTheme="minorEastAsia"/>
                <w:bCs/>
                <w:szCs w:val="21"/>
              </w:rPr>
              <w:t>装置性能测试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11</w:t>
            </w:r>
          </w:p>
        </w:tc>
        <w:tc>
          <w:tcPr>
            <w:tcW w:w="6237" w:type="dxa"/>
          </w:tcPr>
          <w:p>
            <w:pPr>
              <w:jc w:val="left"/>
              <w:rPr>
                <w:rFonts w:asciiTheme="minorEastAsia" w:hAnsiTheme="minorEastAsia"/>
                <w:bCs/>
                <w:szCs w:val="21"/>
              </w:rPr>
            </w:pPr>
            <w:r>
              <w:rPr>
                <w:rFonts w:hint="eastAsia" w:asciiTheme="minorEastAsia" w:hAnsiTheme="minorEastAsia"/>
                <w:bCs/>
                <w:szCs w:val="21"/>
              </w:rPr>
              <w:t>静电放电抗扰度测试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12</w:t>
            </w:r>
          </w:p>
        </w:tc>
        <w:tc>
          <w:tcPr>
            <w:tcW w:w="6237" w:type="dxa"/>
          </w:tcPr>
          <w:p>
            <w:pPr>
              <w:jc w:val="left"/>
              <w:rPr>
                <w:rFonts w:asciiTheme="minorEastAsia" w:hAnsiTheme="minorEastAsia"/>
                <w:bCs/>
                <w:szCs w:val="21"/>
              </w:rPr>
            </w:pPr>
            <w:r>
              <w:rPr>
                <w:rFonts w:hint="eastAsia" w:asciiTheme="minorEastAsia" w:hAnsiTheme="minorEastAsia"/>
                <w:bCs/>
                <w:szCs w:val="21"/>
              </w:rPr>
              <w:t>电快速瞬变脉冲群干扰能力测试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13</w:t>
            </w:r>
          </w:p>
        </w:tc>
        <w:tc>
          <w:tcPr>
            <w:tcW w:w="6237" w:type="dxa"/>
          </w:tcPr>
          <w:p>
            <w:pPr>
              <w:jc w:val="left"/>
              <w:rPr>
                <w:rFonts w:asciiTheme="minorEastAsia" w:hAnsiTheme="minorEastAsia"/>
                <w:bCs/>
                <w:szCs w:val="21"/>
              </w:rPr>
            </w:pPr>
            <w:r>
              <w:rPr>
                <w:rFonts w:hint="eastAsia" w:asciiTheme="minorEastAsia" w:hAnsiTheme="minorEastAsia"/>
                <w:bCs/>
                <w:szCs w:val="21"/>
              </w:rPr>
              <w:t>浪涌抗扰度测试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14</w:t>
            </w:r>
          </w:p>
        </w:tc>
        <w:tc>
          <w:tcPr>
            <w:tcW w:w="6237" w:type="dxa"/>
          </w:tcPr>
          <w:p>
            <w:pPr>
              <w:jc w:val="left"/>
              <w:rPr>
                <w:rFonts w:asciiTheme="minorEastAsia" w:hAnsiTheme="minorEastAsia"/>
                <w:bCs/>
                <w:szCs w:val="21"/>
              </w:rPr>
            </w:pPr>
            <w:r>
              <w:rPr>
                <w:rFonts w:hint="eastAsia" w:asciiTheme="minorEastAsia" w:hAnsiTheme="minorEastAsia"/>
                <w:bCs/>
                <w:szCs w:val="21"/>
              </w:rPr>
              <w:t>绝缘电阻测试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15</w:t>
            </w:r>
          </w:p>
        </w:tc>
        <w:tc>
          <w:tcPr>
            <w:tcW w:w="6237" w:type="dxa"/>
          </w:tcPr>
          <w:p>
            <w:pPr>
              <w:jc w:val="left"/>
              <w:rPr>
                <w:rFonts w:asciiTheme="minorEastAsia" w:hAnsiTheme="minorEastAsia"/>
                <w:bCs/>
                <w:szCs w:val="21"/>
              </w:rPr>
            </w:pPr>
            <w:r>
              <w:rPr>
                <w:rFonts w:hint="eastAsia" w:asciiTheme="minorEastAsia" w:hAnsiTheme="minorEastAsia"/>
                <w:bCs/>
                <w:szCs w:val="21"/>
              </w:rPr>
              <w:t>介质强度测试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16</w:t>
            </w:r>
          </w:p>
        </w:tc>
        <w:tc>
          <w:tcPr>
            <w:tcW w:w="6237" w:type="dxa"/>
          </w:tcPr>
          <w:p>
            <w:pPr>
              <w:jc w:val="left"/>
              <w:rPr>
                <w:rFonts w:asciiTheme="minorEastAsia" w:hAnsiTheme="minorEastAsia"/>
                <w:bCs/>
                <w:szCs w:val="21"/>
              </w:rPr>
            </w:pPr>
            <w:r>
              <w:rPr>
                <w:rFonts w:hint="eastAsia" w:asciiTheme="minorEastAsia" w:hAnsiTheme="minorEastAsia"/>
                <w:bCs/>
                <w:szCs w:val="21"/>
              </w:rPr>
              <w:t>功率消耗测试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pPr>
              <w:jc w:val="center"/>
              <w:rPr>
                <w:rFonts w:asciiTheme="minorEastAsia" w:hAnsiTheme="minorEastAsia"/>
                <w:bCs/>
                <w:szCs w:val="21"/>
              </w:rPr>
            </w:pPr>
            <w:r>
              <w:rPr>
                <w:rFonts w:asciiTheme="minorEastAsia" w:hAnsiTheme="minorEastAsia"/>
                <w:bCs/>
                <w:szCs w:val="21"/>
              </w:rPr>
              <w:t>17</w:t>
            </w:r>
          </w:p>
        </w:tc>
        <w:tc>
          <w:tcPr>
            <w:tcW w:w="6237" w:type="dxa"/>
          </w:tcPr>
          <w:p>
            <w:pPr>
              <w:jc w:val="left"/>
              <w:rPr>
                <w:rFonts w:asciiTheme="minorEastAsia" w:hAnsiTheme="minorEastAsia"/>
                <w:bCs/>
                <w:szCs w:val="21"/>
              </w:rPr>
            </w:pPr>
            <w:r>
              <w:rPr>
                <w:rFonts w:hint="eastAsia" w:asciiTheme="minorEastAsia" w:hAnsiTheme="minorEastAsia"/>
                <w:bCs/>
                <w:szCs w:val="21"/>
              </w:rPr>
              <w:t>环境温度极端范围极限值，做回归测试</w:t>
            </w:r>
          </w:p>
        </w:tc>
      </w:tr>
    </w:tbl>
    <w:p>
      <w:pPr>
        <w:pStyle w:val="18"/>
        <w:rPr>
          <w:rFonts w:ascii="宋体" w:hAnsi="宋体"/>
          <w:color w:val="auto"/>
        </w:rPr>
      </w:pPr>
    </w:p>
    <w:p>
      <w:pPr>
        <w:pStyle w:val="18"/>
        <w:rPr>
          <w:rFonts w:ascii="宋体" w:hAnsi="宋体"/>
          <w:color w:val="auto"/>
        </w:rPr>
      </w:pPr>
      <w:r>
        <w:rPr>
          <w:rFonts w:hint="eastAsia" w:ascii="宋体" w:hAnsi="宋体"/>
          <w:color w:val="auto"/>
        </w:rPr>
        <w:t>2、技术标准、最终达到的技术参数、技术规范等技术性描述:</w:t>
      </w:r>
    </w:p>
    <w:p>
      <w:pPr>
        <w:pStyle w:val="18"/>
        <w:rPr>
          <w:rFonts w:ascii="宋体" w:hAnsi="宋体"/>
          <w:color w:val="auto"/>
        </w:rPr>
      </w:pPr>
      <w:r>
        <w:rPr>
          <w:rFonts w:hint="eastAsia" w:ascii="宋体" w:hAnsi="宋体"/>
          <w:color w:val="auto"/>
        </w:rPr>
        <w:t>2.1 支持大容量、高频采集、传输的开关柜状态传感器、数据采集器，采样技术指标包括：</w:t>
      </w:r>
    </w:p>
    <w:p>
      <w:pPr>
        <w:pStyle w:val="18"/>
        <w:rPr>
          <w:rFonts w:ascii="宋体" w:hAnsi="宋体"/>
          <w:color w:val="auto"/>
        </w:rPr>
      </w:pPr>
      <w:r>
        <w:rPr>
          <w:rFonts w:hint="eastAsia" w:ascii="宋体" w:hAnsi="宋体"/>
          <w:color w:val="auto"/>
        </w:rPr>
        <w:t>（1）电压/电流：优于0.5%，分辨率优于0.05V/0.02A；</w:t>
      </w:r>
    </w:p>
    <w:p>
      <w:pPr>
        <w:pStyle w:val="18"/>
        <w:rPr>
          <w:rFonts w:ascii="宋体" w:hAnsi="宋体"/>
          <w:color w:val="auto"/>
        </w:rPr>
      </w:pPr>
      <w:r>
        <w:rPr>
          <w:rFonts w:hint="eastAsia" w:ascii="宋体" w:hAnsi="宋体"/>
          <w:color w:val="auto"/>
        </w:rPr>
        <w:t>（2）弧光：优于±10%，分辨率优于100Lux；</w:t>
      </w:r>
    </w:p>
    <w:p>
      <w:pPr>
        <w:pStyle w:val="18"/>
        <w:rPr>
          <w:rFonts w:ascii="宋体" w:hAnsi="宋体"/>
          <w:color w:val="auto"/>
        </w:rPr>
      </w:pPr>
      <w:r>
        <w:rPr>
          <w:rFonts w:hint="eastAsia" w:ascii="宋体" w:hAnsi="宋体"/>
          <w:color w:val="auto"/>
        </w:rPr>
        <w:t>（3）温度：优于±2℃，分辨率优于0.5℃；</w:t>
      </w:r>
    </w:p>
    <w:p>
      <w:pPr>
        <w:pStyle w:val="18"/>
        <w:rPr>
          <w:rFonts w:ascii="宋体" w:hAnsi="宋体"/>
          <w:color w:val="auto"/>
        </w:rPr>
      </w:pPr>
      <w:r>
        <w:rPr>
          <w:rFonts w:hint="eastAsia" w:ascii="宋体" w:hAnsi="宋体"/>
          <w:color w:val="auto"/>
        </w:rPr>
        <w:t>（4）湿度：优于±5%rh，分辨率0.5 rh；</w:t>
      </w:r>
    </w:p>
    <w:p>
      <w:pPr>
        <w:pStyle w:val="18"/>
        <w:rPr>
          <w:rFonts w:ascii="宋体" w:hAnsi="宋体"/>
          <w:color w:val="auto"/>
        </w:rPr>
      </w:pPr>
      <w:r>
        <w:rPr>
          <w:rFonts w:hint="eastAsia" w:ascii="宋体" w:hAnsi="宋体"/>
          <w:color w:val="auto"/>
        </w:rPr>
        <w:t>（5）局放：信号频率300MHz ～3GHz，灵敏度不小于-70dBm。</w:t>
      </w:r>
    </w:p>
    <w:p>
      <w:pPr>
        <w:pStyle w:val="18"/>
        <w:rPr>
          <w:rFonts w:ascii="宋体" w:hAnsi="宋体"/>
          <w:color w:val="auto"/>
        </w:rPr>
      </w:pPr>
      <w:r>
        <w:rPr>
          <w:rFonts w:hint="eastAsia" w:ascii="宋体" w:hAnsi="宋体"/>
          <w:color w:val="auto"/>
        </w:rPr>
        <w:t>应答：理解，并遵照以上要求执行；</w:t>
      </w:r>
    </w:p>
    <w:p>
      <w:pPr>
        <w:pStyle w:val="18"/>
        <w:rPr>
          <w:rFonts w:ascii="宋体" w:hAnsi="宋体"/>
          <w:color w:val="auto"/>
        </w:rPr>
      </w:pPr>
      <w:r>
        <w:rPr>
          <w:rFonts w:hint="eastAsia" w:ascii="宋体" w:hAnsi="宋体"/>
          <w:color w:val="auto"/>
        </w:rPr>
        <w:t>2.2 安全的开关柜状态参数记录载体—“数据存储与安全隔离终端”，网络单点断线（N-1故障条件）下，满足：</w:t>
      </w:r>
    </w:p>
    <w:p>
      <w:pPr>
        <w:pStyle w:val="18"/>
        <w:rPr>
          <w:rFonts w:ascii="宋体" w:hAnsi="宋体"/>
          <w:color w:val="auto"/>
        </w:rPr>
      </w:pPr>
      <w:r>
        <w:rPr>
          <w:rFonts w:hint="eastAsia" w:ascii="宋体" w:hAnsi="宋体"/>
          <w:color w:val="auto"/>
        </w:rPr>
        <w:t>(1) 链路切换时间小于1ms/跳；</w:t>
      </w:r>
    </w:p>
    <w:p>
      <w:pPr>
        <w:pStyle w:val="18"/>
        <w:rPr>
          <w:rFonts w:ascii="宋体" w:hAnsi="宋体"/>
          <w:color w:val="auto"/>
        </w:rPr>
      </w:pPr>
      <w:r>
        <w:rPr>
          <w:rFonts w:hint="eastAsia" w:ascii="宋体" w:hAnsi="宋体"/>
          <w:color w:val="auto"/>
        </w:rPr>
        <w:t>(2) 网络数据丢失时间窗口小于1ms/跳；</w:t>
      </w:r>
    </w:p>
    <w:p>
      <w:pPr>
        <w:pStyle w:val="18"/>
        <w:rPr>
          <w:rFonts w:ascii="宋体" w:hAnsi="宋体"/>
          <w:color w:val="auto"/>
        </w:rPr>
      </w:pPr>
      <w:r>
        <w:rPr>
          <w:rFonts w:hint="eastAsia" w:ascii="宋体" w:hAnsi="宋体"/>
          <w:color w:val="auto"/>
        </w:rPr>
        <w:t>(3) 业务数据零丢失（具备重传功能）。</w:t>
      </w:r>
    </w:p>
    <w:p>
      <w:pPr>
        <w:pStyle w:val="18"/>
        <w:rPr>
          <w:rFonts w:ascii="宋体" w:hAnsi="宋体"/>
          <w:color w:val="auto"/>
        </w:rPr>
      </w:pPr>
      <w:r>
        <w:rPr>
          <w:rFonts w:hint="eastAsia" w:ascii="宋体" w:hAnsi="宋体"/>
          <w:color w:val="auto"/>
        </w:rPr>
        <w:t>应答：理解，并遵照以上要求执行；</w:t>
      </w:r>
    </w:p>
    <w:p>
      <w:pPr>
        <w:pStyle w:val="18"/>
        <w:rPr>
          <w:rFonts w:ascii="宋体" w:hAnsi="宋体"/>
          <w:color w:val="auto"/>
        </w:rPr>
      </w:pPr>
      <w:r>
        <w:rPr>
          <w:rFonts w:hint="eastAsia" w:ascii="宋体" w:hAnsi="宋体"/>
          <w:color w:val="auto"/>
        </w:rPr>
        <w:t>2.3 基于多维状态参数向量的高压开关柜运行状态评估算法，能在线监测、评估开关柜综合运行状态，满足在线实时监测要求，算法采样速度/记录周期指标包括：</w:t>
      </w:r>
    </w:p>
    <w:p>
      <w:pPr>
        <w:pStyle w:val="18"/>
        <w:rPr>
          <w:rFonts w:ascii="宋体" w:hAnsi="宋体"/>
          <w:color w:val="auto"/>
        </w:rPr>
      </w:pPr>
      <w:r>
        <w:rPr>
          <w:rFonts w:hint="eastAsia" w:ascii="宋体" w:hAnsi="宋体"/>
          <w:color w:val="auto"/>
        </w:rPr>
        <w:t>(1) 电压/电流：24点/周；（故障触发记录模式）</w:t>
      </w:r>
    </w:p>
    <w:p>
      <w:pPr>
        <w:pStyle w:val="18"/>
        <w:rPr>
          <w:rFonts w:ascii="宋体" w:hAnsi="宋体"/>
          <w:color w:val="auto"/>
        </w:rPr>
      </w:pPr>
      <w:r>
        <w:rPr>
          <w:rFonts w:hint="eastAsia" w:ascii="宋体" w:hAnsi="宋体"/>
          <w:color w:val="auto"/>
        </w:rPr>
        <w:t>(2) 温\湿度：5ms/次；</w:t>
      </w:r>
    </w:p>
    <w:p>
      <w:pPr>
        <w:pStyle w:val="18"/>
        <w:rPr>
          <w:rFonts w:ascii="宋体" w:hAnsi="宋体"/>
          <w:color w:val="auto"/>
        </w:rPr>
      </w:pPr>
      <w:r>
        <w:rPr>
          <w:rFonts w:hint="eastAsia" w:ascii="宋体" w:hAnsi="宋体"/>
          <w:color w:val="auto"/>
        </w:rPr>
        <w:t>(3) 局放：20ms/次；</w:t>
      </w:r>
    </w:p>
    <w:p>
      <w:pPr>
        <w:pStyle w:val="18"/>
        <w:rPr>
          <w:rFonts w:ascii="宋体" w:hAnsi="宋体"/>
          <w:color w:val="auto"/>
        </w:rPr>
      </w:pPr>
      <w:r>
        <w:rPr>
          <w:rFonts w:hint="eastAsia" w:ascii="宋体" w:hAnsi="宋体"/>
          <w:color w:val="auto"/>
        </w:rPr>
        <w:t>(4) 温度场：30帧/秒；</w:t>
      </w:r>
    </w:p>
    <w:p>
      <w:pPr>
        <w:pStyle w:val="18"/>
        <w:rPr>
          <w:rFonts w:ascii="宋体" w:hAnsi="宋体"/>
          <w:color w:val="auto"/>
        </w:rPr>
      </w:pPr>
      <w:r>
        <w:rPr>
          <w:rFonts w:hint="eastAsia" w:ascii="宋体" w:hAnsi="宋体"/>
          <w:color w:val="auto"/>
        </w:rPr>
        <w:t>(5) 视频：30帧/秒。</w:t>
      </w:r>
    </w:p>
    <w:p>
      <w:pPr>
        <w:pStyle w:val="18"/>
        <w:rPr>
          <w:rFonts w:ascii="宋体" w:hAnsi="宋体"/>
          <w:color w:val="auto"/>
        </w:rPr>
      </w:pPr>
      <w:r>
        <w:rPr>
          <w:rFonts w:hint="eastAsia" w:ascii="宋体" w:hAnsi="宋体"/>
          <w:color w:val="auto"/>
        </w:rPr>
        <w:t>应答：理解，并遵照以上要求执行；</w:t>
      </w:r>
    </w:p>
    <w:p>
      <w:pPr>
        <w:pStyle w:val="18"/>
        <w:rPr>
          <w:rFonts w:ascii="宋体" w:hAnsi="宋体"/>
          <w:color w:val="auto"/>
        </w:rPr>
      </w:pPr>
      <w:r>
        <w:rPr>
          <w:rFonts w:hint="eastAsia" w:ascii="宋体" w:hAnsi="宋体"/>
          <w:color w:val="auto"/>
        </w:rPr>
        <w:t>2.4 新型开关柜弧光保护，技术指标包括：</w:t>
      </w:r>
    </w:p>
    <w:p>
      <w:pPr>
        <w:pStyle w:val="18"/>
        <w:rPr>
          <w:rFonts w:ascii="宋体" w:hAnsi="宋体"/>
          <w:color w:val="auto"/>
        </w:rPr>
      </w:pPr>
      <w:r>
        <w:rPr>
          <w:rFonts w:hint="eastAsia" w:ascii="宋体" w:hAnsi="宋体"/>
          <w:color w:val="auto"/>
        </w:rPr>
        <w:t>(1) 动作误差：电流±5%；弧光±10%；延时±15ms；</w:t>
      </w:r>
    </w:p>
    <w:p>
      <w:pPr>
        <w:pStyle w:val="18"/>
        <w:rPr>
          <w:rFonts w:ascii="宋体" w:hAnsi="宋体"/>
          <w:color w:val="auto"/>
        </w:rPr>
      </w:pPr>
      <w:r>
        <w:rPr>
          <w:rFonts w:hint="eastAsia" w:ascii="宋体" w:hAnsi="宋体"/>
          <w:color w:val="auto"/>
        </w:rPr>
        <w:t>(2) 动作速度：保护出口时间小于20ms；</w:t>
      </w:r>
    </w:p>
    <w:p>
      <w:pPr>
        <w:pStyle w:val="18"/>
        <w:rPr>
          <w:rFonts w:ascii="宋体" w:hAnsi="宋体"/>
          <w:color w:val="auto"/>
        </w:rPr>
      </w:pPr>
      <w:r>
        <w:rPr>
          <w:rFonts w:hint="eastAsia" w:ascii="宋体" w:hAnsi="宋体"/>
          <w:color w:val="auto"/>
        </w:rPr>
        <w:t>(3) 故障整体切除时间：小于80ms；</w:t>
      </w:r>
    </w:p>
    <w:p>
      <w:pPr>
        <w:pStyle w:val="18"/>
        <w:rPr>
          <w:rFonts w:ascii="宋体" w:hAnsi="宋体"/>
          <w:color w:val="auto"/>
        </w:rPr>
      </w:pPr>
      <w:r>
        <w:rPr>
          <w:rFonts w:hint="eastAsia" w:ascii="宋体" w:hAnsi="宋体"/>
          <w:color w:val="auto"/>
        </w:rPr>
        <w:t>(4) 故障录波：跳闸前5周，跳闸后 50周，每周采样24点。</w:t>
      </w:r>
    </w:p>
    <w:p>
      <w:pPr>
        <w:pStyle w:val="18"/>
        <w:rPr>
          <w:rFonts w:ascii="宋体" w:hAnsi="宋体"/>
          <w:color w:val="auto"/>
        </w:rPr>
      </w:pPr>
      <w:r>
        <w:rPr>
          <w:rFonts w:hint="eastAsia" w:ascii="宋体" w:hAnsi="宋体"/>
          <w:color w:val="auto"/>
        </w:rPr>
        <w:t>应答：理解，并遵照以上要求执行；</w:t>
      </w:r>
    </w:p>
    <w:p>
      <w:pPr>
        <w:pStyle w:val="18"/>
        <w:rPr>
          <w:rFonts w:ascii="宋体" w:hAnsi="宋体"/>
          <w:color w:val="auto"/>
        </w:rPr>
      </w:pPr>
      <w:r>
        <w:rPr>
          <w:rFonts w:hint="eastAsia" w:ascii="宋体" w:hAnsi="宋体"/>
          <w:color w:val="auto"/>
        </w:rPr>
        <w:t>2.5 基于实测数据的开关柜事故追溯分析模块，能及时响应状态监测发现的异常，并将报警信息及时告知用户。</w:t>
      </w:r>
    </w:p>
    <w:p>
      <w:pPr>
        <w:pStyle w:val="18"/>
        <w:rPr>
          <w:rFonts w:ascii="宋体" w:hAnsi="宋体"/>
          <w:color w:val="auto"/>
        </w:rPr>
      </w:pPr>
      <w:r>
        <w:rPr>
          <w:rFonts w:hint="eastAsia" w:ascii="宋体" w:hAnsi="宋体"/>
        </w:rPr>
        <w:t>应答：理解，并遵照要求执行。基于多种监测数据（如连接点温度、温度场、环境温湿度、局放信号、弧光信号、负荷载流等）和红外图像综合分析，可极大程度上提高状态监测判断结果的准确度，为开关柜的状态检修奠定坚实的技术基础，并通过终端接口，与用户手机终端无缝衔接，使设备告警信息及时告知用户。通过合理提高传感器的数据采集频度、通信传输带宽和数据记录容量，并利用专用的数据记录与安全隔离单元（类似飞机“黑匣子”）进行事故数据的合理“保护”，不仅有利于重大事故的事后分析，还可为长时间、多维护数据的综合分析利用成为可能，进而为改善开关柜的健康运行条件和状态检修提供重要决策参考。</w:t>
      </w:r>
    </w:p>
    <w:p>
      <w:pPr>
        <w:pStyle w:val="18"/>
        <w:rPr>
          <w:rFonts w:ascii="宋体" w:hAnsi="宋体"/>
          <w:color w:val="auto"/>
        </w:rPr>
      </w:pPr>
      <w:r>
        <w:rPr>
          <w:rFonts w:hint="eastAsia" w:ascii="宋体" w:hAnsi="宋体"/>
          <w:color w:val="auto"/>
        </w:rPr>
        <w:t>2.6 开发面向高压开关柜故障监测、防控与事故追溯的可视化站端系统，可视化模块应具有较高用户体验，无锯齿、拖动无滞后。</w:t>
      </w:r>
    </w:p>
    <w:p>
      <w:pPr>
        <w:pStyle w:val="31"/>
        <w:spacing w:line="360" w:lineRule="auto"/>
        <w:ind w:firstLine="420"/>
        <w:contextualSpacing/>
        <w:rPr>
          <w:rFonts w:ascii="宋体" w:hAnsi="宋体"/>
          <w:szCs w:val="21"/>
        </w:rPr>
      </w:pPr>
      <w:r>
        <w:rPr>
          <w:rFonts w:hint="eastAsia" w:ascii="宋体" w:hAnsi="宋体"/>
        </w:rPr>
        <w:t>应答：理解，并遵照以上要求执行。本项目采用三维方式，在可视化为用户提供沉浸式体验，具有较高用户体验、无锯齿、拖动无滞后等，</w:t>
      </w:r>
      <w:r>
        <w:rPr>
          <w:rFonts w:hint="eastAsia" w:ascii="宋体" w:hAnsi="宋体"/>
          <w:szCs w:val="21"/>
        </w:rPr>
        <w:t>我方已开发出基于</w:t>
      </w:r>
      <w:r>
        <w:rPr>
          <w:rFonts w:ascii="宋体" w:hAnsi="宋体"/>
          <w:szCs w:val="21"/>
        </w:rPr>
        <w:t>WebGL（Web Graphics Library）技术的三维可视化基础组件。该组件实现了三维模型一体化渲染展示，效果如下图。</w:t>
      </w:r>
    </w:p>
    <w:p>
      <w:pPr>
        <w:widowControl/>
        <w:spacing w:line="360" w:lineRule="auto"/>
        <w:ind w:left="-235" w:leftChars="-112" w:firstLine="735" w:firstLineChars="350"/>
        <w:jc w:val="center"/>
        <w:rPr>
          <w:rFonts w:ascii="宋体" w:hAnsi="宋体" w:eastAsia="宋体" w:cs="宋体"/>
          <w:shd w:val="clear" w:color="auto" w:fill="FFFFFF"/>
        </w:rPr>
      </w:pPr>
      <w:r>
        <w:rPr>
          <w:rFonts w:hint="eastAsia" w:ascii="宋体" w:hAnsi="宋体" w:eastAsia="宋体" w:cs="宋体"/>
          <w:shd w:val="clear" w:color="auto" w:fill="FFFFFF"/>
        </w:rPr>
        <w:drawing>
          <wp:inline distT="0" distB="0" distL="0" distR="0">
            <wp:extent cx="3881120" cy="1434465"/>
            <wp:effectExtent l="0" t="0" r="508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81120" cy="1434816"/>
                    </a:xfrm>
                    <a:prstGeom prst="rect">
                      <a:avLst/>
                    </a:prstGeom>
                    <a:noFill/>
                    <a:ln>
                      <a:noFill/>
                    </a:ln>
                  </pic:spPr>
                </pic:pic>
              </a:graphicData>
            </a:graphic>
          </wp:inline>
        </w:drawing>
      </w:r>
    </w:p>
    <w:p>
      <w:pPr>
        <w:widowControl/>
        <w:spacing w:line="360" w:lineRule="auto"/>
        <w:ind w:left="-235" w:leftChars="-112" w:firstLine="735" w:firstLineChars="350"/>
        <w:jc w:val="center"/>
        <w:rPr>
          <w:rFonts w:ascii="宋体" w:hAnsi="宋体" w:eastAsia="宋体" w:cs="宋体"/>
          <w:shd w:val="clear" w:color="auto" w:fill="FFFFFF"/>
        </w:rPr>
      </w:pPr>
      <w:r>
        <w:rPr>
          <w:rFonts w:hint="eastAsia" w:ascii="宋体" w:hAnsi="宋体" w:eastAsia="宋体" w:cs="宋体"/>
          <w:shd w:val="clear" w:color="auto" w:fill="FFFFFF"/>
        </w:rPr>
        <w:t>三维模型载入效果</w:t>
      </w:r>
    </w:p>
    <w:p>
      <w:pPr>
        <w:pStyle w:val="31"/>
        <w:spacing w:line="360" w:lineRule="auto"/>
        <w:ind w:firstLine="420"/>
        <w:rPr>
          <w:rFonts w:ascii="宋体" w:hAnsi="宋体"/>
        </w:rPr>
      </w:pPr>
      <w:r>
        <w:rPr>
          <w:rFonts w:ascii="宋体" w:hAnsi="宋体"/>
          <w:szCs w:val="21"/>
        </w:rPr>
        <w:t>组件使用了基础的三角形扇、三角形带、网格等作为渲染基础元素，应用网格算法和ROA</w:t>
      </w:r>
      <w:r>
        <w:rPr>
          <w:rFonts w:hint="eastAsia" w:ascii="宋体" w:hAnsi="宋体"/>
          <w:szCs w:val="21"/>
        </w:rPr>
        <w:t>M(</w:t>
      </w:r>
      <w:r>
        <w:rPr>
          <w:rFonts w:ascii="宋体" w:hAnsi="宋体"/>
          <w:szCs w:val="21"/>
        </w:rPr>
        <w:t>real-time optimal adaptive mesh</w:t>
      </w:r>
      <w:r>
        <w:rPr>
          <w:rFonts w:hint="eastAsia" w:ascii="宋体" w:hAnsi="宋体"/>
          <w:szCs w:val="21"/>
        </w:rPr>
        <w:t>)算法，</w:t>
      </w:r>
      <w:r>
        <w:rPr>
          <w:rFonts w:ascii="宋体" w:hAnsi="宋体"/>
          <w:szCs w:val="21"/>
        </w:rPr>
        <w:t>可很好满足</w:t>
      </w:r>
      <w:r>
        <w:rPr>
          <w:rFonts w:hint="eastAsia" w:ascii="宋体" w:hAnsi="宋体"/>
          <w:szCs w:val="21"/>
        </w:rPr>
        <w:t>高精度的设备渲染需求。</w:t>
      </w:r>
    </w:p>
    <w:p>
      <w:pPr>
        <w:pStyle w:val="18"/>
        <w:rPr>
          <w:rFonts w:ascii="宋体" w:hAnsi="宋体"/>
          <w:color w:val="auto"/>
        </w:rPr>
      </w:pPr>
      <w:r>
        <w:rPr>
          <w:rFonts w:hint="eastAsia" w:ascii="宋体" w:hAnsi="宋体"/>
          <w:color w:val="auto"/>
        </w:rPr>
        <w:t>3、成果形式及数量要求</w:t>
      </w:r>
    </w:p>
    <w:p>
      <w:pPr>
        <w:pStyle w:val="18"/>
        <w:rPr>
          <w:rFonts w:ascii="宋体" w:hAnsi="宋体"/>
          <w:color w:val="auto"/>
        </w:rPr>
      </w:pPr>
      <w:r>
        <w:rPr>
          <w:rFonts w:hint="eastAsia" w:ascii="宋体" w:hAnsi="宋体"/>
          <w:color w:val="auto"/>
        </w:rPr>
        <w:t>（1）提交《集成弧光保护的开关柜故障监测、防控与事故追溯一体化系统》程序一套，技术手册、用户手册各一本。</w:t>
      </w:r>
    </w:p>
    <w:p>
      <w:pPr>
        <w:widowControl/>
        <w:spacing w:line="360" w:lineRule="auto"/>
        <w:ind w:firstLine="420"/>
        <w:jc w:val="left"/>
        <w:rPr>
          <w:rFonts w:ascii="宋体" w:hAnsi="宋体" w:eastAsia="宋体" w:cs="宋体"/>
          <w:shd w:val="clear" w:color="auto" w:fill="FFFFFF"/>
        </w:rPr>
      </w:pPr>
      <w:r>
        <w:rPr>
          <w:rFonts w:hint="eastAsia" w:ascii="宋体" w:hAnsi="宋体" w:eastAsia="宋体" w:cs="宋体"/>
          <w:shd w:val="clear" w:color="auto" w:fill="FFFFFF"/>
        </w:rPr>
        <w:t>应答：理解，并遵照要求执行。</w:t>
      </w:r>
    </w:p>
    <w:p>
      <w:pPr>
        <w:pStyle w:val="18"/>
        <w:rPr>
          <w:rFonts w:ascii="宋体" w:hAnsi="宋体"/>
          <w:color w:val="auto"/>
        </w:rPr>
      </w:pPr>
      <w:r>
        <w:rPr>
          <w:rFonts w:hint="eastAsia" w:ascii="宋体" w:hAnsi="宋体"/>
          <w:color w:val="auto"/>
        </w:rPr>
        <w:t>（2）发表在三大检索或核心期刊论文1篇。</w:t>
      </w:r>
    </w:p>
    <w:p>
      <w:pPr>
        <w:widowControl/>
        <w:spacing w:line="360" w:lineRule="auto"/>
        <w:ind w:firstLine="420"/>
        <w:jc w:val="left"/>
        <w:rPr>
          <w:rFonts w:ascii="宋体" w:hAnsi="宋体" w:eastAsia="宋体" w:cs="宋体"/>
          <w:shd w:val="clear" w:color="auto" w:fill="FFFFFF"/>
        </w:rPr>
      </w:pPr>
      <w:r>
        <w:rPr>
          <w:rFonts w:hint="eastAsia" w:ascii="宋体" w:hAnsi="宋体" w:eastAsia="宋体" w:cs="宋体"/>
          <w:shd w:val="clear" w:color="auto" w:fill="FFFFFF"/>
        </w:rPr>
        <w:t>应答：理解，并遵照要求执行。</w:t>
      </w:r>
    </w:p>
    <w:p>
      <w:pPr>
        <w:pStyle w:val="18"/>
        <w:numPr>
          <w:ilvl w:val="0"/>
          <w:numId w:val="1"/>
        </w:numPr>
        <w:ind w:firstLineChars="0"/>
        <w:rPr>
          <w:rFonts w:ascii="宋体" w:hAnsi="宋体"/>
          <w:color w:val="auto"/>
        </w:rPr>
      </w:pPr>
      <w:r>
        <w:rPr>
          <w:rFonts w:hint="eastAsia" w:ascii="宋体" w:hAnsi="宋体"/>
          <w:color w:val="auto"/>
        </w:rPr>
        <w:t>申请国家发明专利1项。</w:t>
      </w:r>
    </w:p>
    <w:p>
      <w:pPr>
        <w:pStyle w:val="18"/>
        <w:ind w:firstLine="0" w:firstLineChars="0"/>
        <w:rPr>
          <w:rFonts w:ascii="宋体" w:hAnsi="宋体"/>
          <w:color w:val="auto"/>
        </w:rPr>
      </w:pPr>
      <w:r>
        <w:rPr>
          <w:rFonts w:ascii="宋体" w:hAnsi="宋体" w:cs="宋体"/>
          <w:shd w:val="clear" w:color="auto" w:fill="FFFFFF"/>
        </w:rPr>
        <w:tab/>
      </w:r>
      <w:r>
        <w:rPr>
          <w:rFonts w:hint="eastAsia" w:ascii="宋体" w:hAnsi="宋体" w:cs="宋体"/>
          <w:shd w:val="clear" w:color="auto" w:fill="FFFFFF"/>
        </w:rPr>
        <w:t>应答：理解，并遵照要求执行。</w:t>
      </w:r>
    </w:p>
    <w:p>
      <w:pPr>
        <w:pStyle w:val="18"/>
        <w:numPr>
          <w:ilvl w:val="0"/>
          <w:numId w:val="1"/>
        </w:numPr>
        <w:ind w:firstLineChars="0"/>
        <w:rPr>
          <w:rFonts w:ascii="宋体" w:hAnsi="宋体"/>
          <w:color w:val="auto"/>
        </w:rPr>
      </w:pPr>
      <w:r>
        <w:rPr>
          <w:rFonts w:hint="eastAsia" w:ascii="宋体" w:hAnsi="宋体"/>
          <w:color w:val="auto"/>
        </w:rPr>
        <w:t>申报软件著作权1项。</w:t>
      </w:r>
    </w:p>
    <w:p>
      <w:pPr>
        <w:pStyle w:val="18"/>
        <w:ind w:left="420" w:firstLine="0" w:firstLineChars="0"/>
        <w:rPr>
          <w:rFonts w:ascii="宋体" w:hAnsi="宋体"/>
          <w:color w:val="auto"/>
        </w:rPr>
      </w:pPr>
      <w:r>
        <w:rPr>
          <w:rFonts w:ascii="宋体" w:hAnsi="宋体" w:cs="宋体"/>
          <w:shd w:val="clear" w:color="auto" w:fill="FFFFFF"/>
        </w:rPr>
        <w:tab/>
      </w:r>
      <w:r>
        <w:rPr>
          <w:rFonts w:hint="eastAsia" w:ascii="宋体" w:hAnsi="宋体" w:cs="宋体"/>
          <w:shd w:val="clear" w:color="auto" w:fill="FFFFFF"/>
        </w:rPr>
        <w:t>应答：理解，并遵照要求执行。</w:t>
      </w:r>
    </w:p>
    <w:p>
      <w:pPr>
        <w:pStyle w:val="18"/>
        <w:rPr>
          <w:rFonts w:ascii="宋体" w:hAnsi="宋体"/>
          <w:color w:val="auto"/>
        </w:rPr>
      </w:pPr>
      <w:r>
        <w:rPr>
          <w:rFonts w:hint="eastAsia" w:ascii="宋体" w:hAnsi="宋体"/>
          <w:color w:val="auto"/>
        </w:rPr>
        <w:t>（5）研制硬件装置和软件系统在某变电站进行试点应用。</w:t>
      </w:r>
    </w:p>
    <w:p>
      <w:pPr>
        <w:pStyle w:val="18"/>
        <w:rPr>
          <w:rFonts w:ascii="宋体" w:hAnsi="宋体"/>
          <w:color w:val="auto"/>
        </w:rPr>
      </w:pPr>
      <w:r>
        <w:rPr>
          <w:rFonts w:ascii="宋体" w:hAnsi="宋体" w:cs="宋体"/>
          <w:shd w:val="clear" w:color="auto" w:fill="FFFFFF"/>
        </w:rPr>
        <w:tab/>
      </w:r>
      <w:r>
        <w:rPr>
          <w:rFonts w:hint="eastAsia" w:ascii="宋体" w:hAnsi="宋体" w:cs="宋体"/>
          <w:shd w:val="clear" w:color="auto" w:fill="FFFFFF"/>
        </w:rPr>
        <w:t>应答：理解，并遵照要求执行。</w:t>
      </w:r>
    </w:p>
    <w:p>
      <w:pPr>
        <w:pStyle w:val="18"/>
        <w:rPr>
          <w:rFonts w:ascii="宋体" w:hAnsi="宋体"/>
          <w:color w:val="auto"/>
        </w:rPr>
      </w:pPr>
      <w:r>
        <w:rPr>
          <w:rFonts w:hint="eastAsia" w:ascii="宋体" w:hAnsi="宋体"/>
          <w:color w:val="auto"/>
        </w:rPr>
        <w:t>4、通过验收的条件</w:t>
      </w:r>
    </w:p>
    <w:p>
      <w:pPr>
        <w:pStyle w:val="18"/>
        <w:rPr>
          <w:rFonts w:ascii="宋体" w:hAnsi="宋体"/>
          <w:color w:val="auto"/>
        </w:rPr>
      </w:pPr>
      <w:r>
        <w:rPr>
          <w:rFonts w:hint="eastAsia" w:ascii="宋体" w:hAnsi="宋体"/>
          <w:color w:val="auto"/>
        </w:rPr>
        <w:t>完成第3部分要求的成果内容，视为通过验收。</w:t>
      </w:r>
    </w:p>
    <w:p>
      <w:pPr>
        <w:pStyle w:val="18"/>
        <w:rPr>
          <w:rFonts w:ascii="宋体" w:hAnsi="宋体"/>
          <w:color w:val="auto"/>
        </w:rPr>
      </w:pPr>
      <w:r>
        <w:rPr>
          <w:rFonts w:hint="eastAsia" w:ascii="宋体" w:hAnsi="宋体" w:cs="宋体"/>
          <w:shd w:val="clear" w:color="auto" w:fill="FFFFFF"/>
        </w:rPr>
        <w:t>应答：理解，并遵照要求执行。</w:t>
      </w:r>
    </w:p>
    <w:p>
      <w:pPr>
        <w:pStyle w:val="18"/>
        <w:rPr>
          <w:rFonts w:ascii="宋体" w:hAnsi="宋体"/>
          <w:color w:val="auto"/>
        </w:rPr>
      </w:pPr>
      <w:r>
        <w:rPr>
          <w:rFonts w:hint="eastAsia" w:ascii="宋体" w:hAnsi="宋体"/>
          <w:color w:val="auto"/>
        </w:rPr>
        <w:t>5、进度与时间要求</w:t>
      </w:r>
    </w:p>
    <w:p>
      <w:pPr>
        <w:pStyle w:val="18"/>
        <w:rPr>
          <w:rFonts w:ascii="宋体" w:hAnsi="宋体"/>
          <w:color w:val="auto"/>
        </w:rPr>
      </w:pPr>
      <w:r>
        <w:rPr>
          <w:rFonts w:hint="eastAsia" w:ascii="宋体" w:hAnsi="宋体"/>
          <w:color w:val="auto"/>
        </w:rPr>
        <w:t>5.1 总体要求，合同签订之日起至2020年12月31日，完成全部内容</w:t>
      </w:r>
    </w:p>
    <w:p>
      <w:pPr>
        <w:widowControl/>
        <w:spacing w:line="360" w:lineRule="auto"/>
        <w:ind w:firstLine="420"/>
        <w:jc w:val="left"/>
        <w:rPr>
          <w:rFonts w:ascii="宋体" w:hAnsi="宋体" w:eastAsia="宋体" w:cs="宋体"/>
          <w:shd w:val="clear" w:color="auto" w:fill="FFFFFF"/>
        </w:rPr>
      </w:pPr>
      <w:r>
        <w:rPr>
          <w:rFonts w:hint="eastAsia" w:ascii="宋体" w:hAnsi="宋体" w:eastAsia="宋体" w:cs="宋体"/>
          <w:shd w:val="clear" w:color="auto" w:fill="FFFFFF"/>
        </w:rPr>
        <w:t>应答：理解，并遵照要求执行。</w:t>
      </w:r>
    </w:p>
    <w:p>
      <w:pPr>
        <w:pStyle w:val="18"/>
        <w:rPr>
          <w:rFonts w:ascii="宋体" w:hAnsi="宋体"/>
          <w:color w:val="auto"/>
        </w:rPr>
      </w:pPr>
      <w:r>
        <w:rPr>
          <w:rFonts w:hint="eastAsia" w:ascii="宋体" w:hAnsi="宋体"/>
          <w:color w:val="auto"/>
        </w:rPr>
        <w:t>5.2 阶段性进度要求：</w:t>
      </w:r>
    </w:p>
    <w:p>
      <w:pPr>
        <w:pStyle w:val="18"/>
        <w:rPr>
          <w:rFonts w:ascii="宋体" w:hAnsi="宋体"/>
          <w:color w:val="auto"/>
        </w:rPr>
      </w:pPr>
      <w:r>
        <w:rPr>
          <w:rFonts w:hint="eastAsia" w:ascii="宋体" w:hAnsi="宋体"/>
          <w:color w:val="auto"/>
        </w:rPr>
        <w:t>5.2.1 2019年9月30日前，梳理现有高压开关柜参数传感器种类，对高压开关柜多参数状态监测传感器提出升级和改造方案，研制新型弧光保护技术，提交新型弧光保护系统总体设计报告等内容；</w:t>
      </w:r>
    </w:p>
    <w:p>
      <w:pPr>
        <w:pStyle w:val="18"/>
        <w:rPr>
          <w:rFonts w:ascii="宋体" w:hAnsi="宋体"/>
          <w:color w:val="auto"/>
        </w:rPr>
      </w:pPr>
      <w:r>
        <w:rPr>
          <w:rFonts w:hint="eastAsia" w:ascii="宋体" w:hAnsi="宋体"/>
          <w:color w:val="auto"/>
        </w:rPr>
        <w:t>5.2.2 2019年12月31日前，研制具有高可靠性和抗干扰能力的数据采集器，研制具有高可靠性和抗干扰能力的数据存储与安全隔离终端，开展基于多维状态参数向量的高压开关柜运行状态评估模型研究。</w:t>
      </w:r>
    </w:p>
    <w:p>
      <w:pPr>
        <w:pStyle w:val="18"/>
        <w:rPr>
          <w:rFonts w:ascii="宋体" w:hAnsi="宋体"/>
          <w:color w:val="auto"/>
        </w:rPr>
      </w:pPr>
      <w:r>
        <w:rPr>
          <w:rFonts w:hint="eastAsia" w:ascii="宋体" w:hAnsi="宋体"/>
          <w:color w:val="auto"/>
        </w:rPr>
        <w:t>5.2.3 2020年4月30日前，基于多维状态参数向量的高压开关柜运行状态与健康程度在线诊断研究制。</w:t>
      </w:r>
    </w:p>
    <w:p>
      <w:pPr>
        <w:pStyle w:val="18"/>
        <w:rPr>
          <w:rFonts w:ascii="宋体" w:hAnsi="宋体"/>
          <w:color w:val="auto"/>
        </w:rPr>
      </w:pPr>
      <w:r>
        <w:rPr>
          <w:rFonts w:hint="eastAsia" w:ascii="宋体" w:hAnsi="宋体"/>
          <w:color w:val="auto"/>
        </w:rPr>
        <w:t>5.2.4 2020年8月31日前，开展基于实测数据的高压开关柜事故追溯分析方法，研发面向高压开关柜故障监测、防控与事故追溯的可视化站端系统。</w:t>
      </w:r>
    </w:p>
    <w:p>
      <w:pPr>
        <w:pStyle w:val="18"/>
        <w:rPr>
          <w:rFonts w:ascii="宋体" w:hAnsi="宋体"/>
          <w:color w:val="auto"/>
        </w:rPr>
      </w:pPr>
      <w:r>
        <w:rPr>
          <w:rFonts w:hint="eastAsia" w:ascii="宋体" w:hAnsi="宋体"/>
          <w:color w:val="auto"/>
        </w:rPr>
        <w:t>5.2.5 2020年12月31日前，完成全部报告与论文的撰写工作，申报相关专利及版权。</w:t>
      </w:r>
    </w:p>
    <w:p>
      <w:pPr>
        <w:widowControl/>
        <w:spacing w:line="360" w:lineRule="auto"/>
        <w:ind w:firstLine="420"/>
        <w:jc w:val="left"/>
        <w:rPr>
          <w:rFonts w:ascii="宋体" w:hAnsi="宋体" w:eastAsia="宋体" w:cs="宋体"/>
          <w:shd w:val="clear" w:color="auto" w:fill="FFFFFF"/>
        </w:rPr>
      </w:pPr>
      <w:r>
        <w:rPr>
          <w:rFonts w:hint="eastAsia" w:ascii="宋体" w:hAnsi="宋体" w:eastAsia="宋体" w:cs="宋体"/>
          <w:shd w:val="clear" w:color="auto" w:fill="FFFFFF"/>
        </w:rPr>
        <w:t>应答：理解，并遵照要求执行。</w:t>
      </w:r>
    </w:p>
    <w:p>
      <w:pPr>
        <w:pStyle w:val="18"/>
        <w:rPr>
          <w:rFonts w:ascii="宋体" w:hAnsi="宋体"/>
          <w:color w:val="auto"/>
        </w:rPr>
      </w:pPr>
      <w:r>
        <w:rPr>
          <w:rFonts w:hint="eastAsia" w:ascii="宋体" w:hAnsi="宋体"/>
          <w:color w:val="auto"/>
        </w:rPr>
        <w:t>（三）其他要求：</w:t>
      </w:r>
    </w:p>
    <w:p>
      <w:pPr>
        <w:pStyle w:val="18"/>
        <w:rPr>
          <w:rFonts w:ascii="宋体" w:hAnsi="宋体"/>
          <w:color w:val="auto"/>
        </w:rPr>
      </w:pPr>
      <w:r>
        <w:rPr>
          <w:rFonts w:hint="eastAsia" w:ascii="宋体" w:hAnsi="宋体"/>
          <w:color w:val="auto"/>
        </w:rPr>
        <w:t>1、履约担保的金额：无</w:t>
      </w:r>
    </w:p>
    <w:p>
      <w:pPr>
        <w:pStyle w:val="18"/>
        <w:rPr>
          <w:rFonts w:ascii="宋体" w:hAnsi="宋体"/>
          <w:color w:val="auto"/>
        </w:rPr>
      </w:pPr>
      <w:r>
        <w:rPr>
          <w:rFonts w:hint="eastAsia" w:ascii="宋体" w:hAnsi="宋体"/>
          <w:color w:val="auto"/>
        </w:rPr>
        <w:t>2、中标方应根据项目类型为甲方开具（专业技术服务，税率6%）的增值税专用发票。</w:t>
      </w:r>
    </w:p>
    <w:p>
      <w:pPr>
        <w:widowControl/>
        <w:spacing w:after="0" w:line="240" w:lineRule="auto"/>
        <w:ind w:firstLine="420"/>
        <w:jc w:val="left"/>
        <w:rPr>
          <w:rFonts w:ascii="宋体" w:hAnsi="宋体" w:eastAsia="宋体"/>
          <w:sz w:val="28"/>
        </w:rPr>
      </w:pPr>
      <w:r>
        <w:rPr>
          <w:rFonts w:hint="eastAsia" w:ascii="宋体" w:hAnsi="宋体" w:eastAsia="宋体" w:cs="宋体"/>
          <w:shd w:val="clear" w:color="auto" w:fill="FFFFFF"/>
        </w:rPr>
        <w:t>应答：理解，按照《财政部、国家税务总局关于明确金融、房地产开发、教育辅助服务等增值税政策的通知》规定，我单位属教育部直管的事业单位，属于教育辅助服务性质，故我单位开具的技术服务增值税专用发票税率为3%，详见商务投标文件第六章。</w:t>
      </w:r>
    </w:p>
    <w:p>
      <w:pPr>
        <w:widowControl/>
        <w:spacing w:after="0" w:line="240" w:lineRule="auto"/>
        <w:jc w:val="left"/>
        <w:rPr>
          <w:rFonts w:ascii="宋体" w:hAnsi="宋体" w:eastAsia="宋体"/>
          <w:sz w:val="28"/>
        </w:rPr>
      </w:pPr>
    </w:p>
    <w:p>
      <w:pPr>
        <w:pStyle w:val="2"/>
        <w:ind w:left="420" w:hanging="420"/>
        <w:rPr>
          <w:rFonts w:ascii="宋体" w:hAnsi="宋体" w:eastAsia="宋体"/>
          <w:sz w:val="28"/>
        </w:rPr>
      </w:pPr>
      <w:bookmarkStart w:id="27" w:name="_Toc14250017"/>
      <w:r>
        <w:rPr>
          <w:rFonts w:hint="eastAsia" w:ascii="宋体" w:hAnsi="宋体" w:eastAsia="宋体"/>
          <w:sz w:val="28"/>
        </w:rPr>
        <w:t>三、合同履约及资信情况</w:t>
      </w:r>
      <w:bookmarkEnd w:id="16"/>
      <w:bookmarkEnd w:id="27"/>
    </w:p>
    <w:p>
      <w:pPr>
        <w:pStyle w:val="18"/>
        <w:ind w:firstLine="442"/>
        <w:rPr>
          <w:rFonts w:ascii="宋体" w:hAnsi="宋体"/>
          <w:b/>
          <w:bCs/>
          <w:color w:val="auto"/>
        </w:rPr>
      </w:pPr>
      <w:r>
        <w:rPr>
          <w:rFonts w:hint="eastAsia" w:ascii="宋体" w:hAnsi="宋体" w:cs="宋体"/>
          <w:b/>
          <w:bCs/>
          <w:color w:val="auto"/>
          <w:kern w:val="0"/>
          <w:sz w:val="22"/>
        </w:rPr>
        <w:t>1、提供最近一年度业主单位对投标人的评价结果；如未取得业主单位评价结果的投标人或业主单位未开展投标人年度评价的，按投标人提供的履约评价证明材料（业主单位满意度调查表、资信评价等）。</w:t>
      </w:r>
    </w:p>
    <w:p>
      <w:pPr>
        <w:pStyle w:val="18"/>
        <w:ind w:firstLine="422"/>
        <w:jc w:val="center"/>
        <w:outlineLvl w:val="1"/>
        <w:rPr>
          <w:rFonts w:ascii="宋体" w:hAnsi="宋体"/>
          <w:b/>
          <w:color w:val="auto"/>
        </w:rPr>
      </w:pPr>
      <w:r>
        <w:rPr>
          <w:rFonts w:hint="eastAsia" w:ascii="宋体" w:hAnsi="宋体"/>
          <w:b/>
          <w:color w:val="auto"/>
        </w:rPr>
        <w:t>资信情况表</w:t>
      </w:r>
    </w:p>
    <w:tbl>
      <w:tblPr>
        <w:tblStyle w:val="14"/>
        <w:tblW w:w="8786"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85" w:type="dxa"/>
          <w:bottom w:w="0" w:type="dxa"/>
          <w:right w:w="85" w:type="dxa"/>
        </w:tblCellMar>
      </w:tblPr>
      <w:tblGrid>
        <w:gridCol w:w="380"/>
        <w:gridCol w:w="1566"/>
        <w:gridCol w:w="1227"/>
        <w:gridCol w:w="972"/>
        <w:gridCol w:w="1070"/>
        <w:gridCol w:w="2557"/>
        <w:gridCol w:w="1014"/>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85" w:type="dxa"/>
            <w:bottom w:w="0" w:type="dxa"/>
            <w:right w:w="85" w:type="dxa"/>
          </w:tblCellMar>
        </w:tblPrEx>
        <w:trPr>
          <w:trHeight w:val="397" w:hRule="atLeast"/>
          <w:jc w:val="center"/>
        </w:trPr>
        <w:tc>
          <w:tcPr>
            <w:tcW w:w="380" w:type="dxa"/>
            <w:tcBorders>
              <w:top w:val="single" w:color="auto" w:sz="8" w:space="0"/>
            </w:tcBorders>
            <w:vAlign w:val="center"/>
          </w:tcPr>
          <w:p>
            <w:pPr>
              <w:pStyle w:val="20"/>
              <w:rPr>
                <w:rFonts w:ascii="宋体" w:hAnsi="宋体" w:eastAsia="宋体"/>
                <w:color w:val="auto"/>
              </w:rPr>
            </w:pPr>
            <w:r>
              <w:rPr>
                <w:rFonts w:hint="eastAsia" w:ascii="宋体" w:hAnsi="宋体" w:eastAsia="宋体"/>
                <w:color w:val="auto"/>
              </w:rPr>
              <w:t>序号</w:t>
            </w:r>
          </w:p>
        </w:tc>
        <w:tc>
          <w:tcPr>
            <w:tcW w:w="1566" w:type="dxa"/>
            <w:tcBorders>
              <w:top w:val="single" w:color="auto" w:sz="8" w:space="0"/>
            </w:tcBorders>
            <w:vAlign w:val="center"/>
          </w:tcPr>
          <w:p>
            <w:pPr>
              <w:pStyle w:val="20"/>
              <w:rPr>
                <w:rFonts w:ascii="宋体" w:hAnsi="宋体" w:eastAsia="宋体"/>
                <w:color w:val="auto"/>
              </w:rPr>
            </w:pPr>
            <w:r>
              <w:rPr>
                <w:rFonts w:hint="eastAsia" w:ascii="宋体" w:hAnsi="宋体" w:eastAsia="宋体"/>
                <w:color w:val="auto"/>
              </w:rPr>
              <w:t>项目名称</w:t>
            </w:r>
          </w:p>
        </w:tc>
        <w:tc>
          <w:tcPr>
            <w:tcW w:w="1227" w:type="dxa"/>
            <w:tcBorders>
              <w:top w:val="single" w:color="auto" w:sz="8" w:space="0"/>
            </w:tcBorders>
            <w:vAlign w:val="center"/>
          </w:tcPr>
          <w:p>
            <w:pPr>
              <w:pStyle w:val="20"/>
              <w:rPr>
                <w:rFonts w:ascii="宋体" w:hAnsi="宋体" w:eastAsia="宋体"/>
                <w:color w:val="auto"/>
              </w:rPr>
            </w:pPr>
            <w:r>
              <w:rPr>
                <w:rFonts w:hint="eastAsia" w:ascii="宋体" w:hAnsi="宋体" w:eastAsia="宋体"/>
                <w:color w:val="auto"/>
              </w:rPr>
              <w:t>项目规模</w:t>
            </w:r>
          </w:p>
        </w:tc>
        <w:tc>
          <w:tcPr>
            <w:tcW w:w="972" w:type="dxa"/>
            <w:tcBorders>
              <w:top w:val="single" w:color="auto" w:sz="8" w:space="0"/>
            </w:tcBorders>
            <w:vAlign w:val="center"/>
          </w:tcPr>
          <w:p>
            <w:pPr>
              <w:pStyle w:val="20"/>
              <w:rPr>
                <w:rFonts w:ascii="宋体" w:hAnsi="宋体" w:eastAsia="宋体"/>
                <w:color w:val="auto"/>
              </w:rPr>
            </w:pPr>
            <w:r>
              <w:rPr>
                <w:rFonts w:hint="eastAsia" w:ascii="宋体" w:hAnsi="宋体" w:eastAsia="宋体"/>
                <w:color w:val="auto"/>
              </w:rPr>
              <w:t>完工时间</w:t>
            </w:r>
          </w:p>
        </w:tc>
        <w:tc>
          <w:tcPr>
            <w:tcW w:w="1070" w:type="dxa"/>
            <w:tcBorders>
              <w:top w:val="single" w:color="auto" w:sz="8" w:space="0"/>
            </w:tcBorders>
            <w:vAlign w:val="center"/>
          </w:tcPr>
          <w:p>
            <w:pPr>
              <w:pStyle w:val="20"/>
              <w:rPr>
                <w:rFonts w:ascii="宋体" w:hAnsi="宋体" w:eastAsia="宋体"/>
                <w:color w:val="auto"/>
              </w:rPr>
            </w:pPr>
            <w:r>
              <w:rPr>
                <w:rFonts w:hint="eastAsia" w:ascii="宋体" w:hAnsi="宋体" w:eastAsia="宋体"/>
                <w:color w:val="auto"/>
              </w:rPr>
              <w:t>业主单位</w:t>
            </w:r>
          </w:p>
          <w:p>
            <w:pPr>
              <w:pStyle w:val="20"/>
              <w:rPr>
                <w:rFonts w:ascii="宋体" w:hAnsi="宋体" w:eastAsia="宋体"/>
                <w:color w:val="auto"/>
              </w:rPr>
            </w:pPr>
            <w:r>
              <w:rPr>
                <w:rFonts w:hint="eastAsia" w:ascii="宋体" w:hAnsi="宋体" w:eastAsia="宋体"/>
                <w:color w:val="auto"/>
              </w:rPr>
              <w:t>名称</w:t>
            </w:r>
          </w:p>
        </w:tc>
        <w:tc>
          <w:tcPr>
            <w:tcW w:w="2557" w:type="dxa"/>
            <w:tcBorders>
              <w:top w:val="single" w:color="auto" w:sz="8" w:space="0"/>
            </w:tcBorders>
            <w:vAlign w:val="center"/>
          </w:tcPr>
          <w:p>
            <w:pPr>
              <w:pStyle w:val="20"/>
              <w:rPr>
                <w:rFonts w:ascii="宋体" w:hAnsi="宋体" w:eastAsia="宋体"/>
                <w:color w:val="auto"/>
              </w:rPr>
            </w:pPr>
            <w:r>
              <w:rPr>
                <w:rFonts w:hint="eastAsia" w:ascii="宋体" w:hAnsi="宋体" w:eastAsia="宋体"/>
                <w:color w:val="auto"/>
              </w:rPr>
              <w:t>业主单位给予的资信评价或</w:t>
            </w:r>
            <w:r>
              <w:rPr>
                <w:rFonts w:hint="eastAsia" w:ascii="宋体" w:hAnsi="宋体" w:eastAsia="宋体" w:cs="Calibri"/>
                <w:color w:val="auto"/>
                <w:szCs w:val="21"/>
              </w:rPr>
              <w:t>满意度调查</w:t>
            </w:r>
            <w:r>
              <w:rPr>
                <w:rFonts w:hint="eastAsia" w:ascii="宋体" w:hAnsi="宋体" w:eastAsia="宋体"/>
                <w:color w:val="auto"/>
              </w:rPr>
              <w:t>结论及相关说明</w:t>
            </w:r>
          </w:p>
        </w:tc>
        <w:tc>
          <w:tcPr>
            <w:tcW w:w="1014" w:type="dxa"/>
            <w:tcBorders>
              <w:top w:val="single" w:color="auto" w:sz="8" w:space="0"/>
            </w:tcBorders>
            <w:vAlign w:val="center"/>
          </w:tcPr>
          <w:p>
            <w:pPr>
              <w:pStyle w:val="20"/>
              <w:rPr>
                <w:rFonts w:ascii="宋体" w:hAnsi="宋体" w:eastAsia="宋体"/>
                <w:color w:val="auto"/>
              </w:rPr>
            </w:pPr>
            <w:r>
              <w:rPr>
                <w:rFonts w:hint="eastAsia" w:ascii="宋体" w:hAnsi="宋体" w:eastAsia="宋体"/>
                <w:color w:val="auto"/>
              </w:rPr>
              <w:t>业主单位联系方式</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85" w:type="dxa"/>
            <w:bottom w:w="0" w:type="dxa"/>
            <w:right w:w="85" w:type="dxa"/>
          </w:tblCellMar>
        </w:tblPrEx>
        <w:trPr>
          <w:trHeight w:val="397" w:hRule="atLeast"/>
          <w:jc w:val="center"/>
        </w:trPr>
        <w:tc>
          <w:tcPr>
            <w:tcW w:w="380" w:type="dxa"/>
            <w:vAlign w:val="center"/>
          </w:tcPr>
          <w:p>
            <w:pPr>
              <w:pStyle w:val="20"/>
              <w:rPr>
                <w:rFonts w:ascii="宋体" w:hAnsi="宋体" w:eastAsia="宋体"/>
                <w:color w:val="auto"/>
                <w:highlight w:val="yellow"/>
              </w:rPr>
            </w:pPr>
            <w:r>
              <w:rPr>
                <w:rFonts w:hint="eastAsia" w:ascii="宋体" w:hAnsi="宋体" w:eastAsia="宋体"/>
                <w:color w:val="auto"/>
              </w:rPr>
              <w:t>1</w:t>
            </w:r>
          </w:p>
        </w:tc>
        <w:tc>
          <w:tcPr>
            <w:tcW w:w="1566" w:type="dxa"/>
            <w:vAlign w:val="center"/>
          </w:tcPr>
          <w:p>
            <w:pPr>
              <w:pStyle w:val="20"/>
              <w:rPr>
                <w:rFonts w:ascii="宋体" w:hAnsi="宋体" w:eastAsia="宋体"/>
                <w:color w:val="auto"/>
                <w:highlight w:val="yellow"/>
              </w:rPr>
            </w:pPr>
            <w:r>
              <w:rPr>
                <w:rFonts w:hint="eastAsia" w:ascii="宋体" w:hAnsi="宋体" w:eastAsia="宋体"/>
                <w:color w:val="auto"/>
              </w:rPr>
              <w:t>省地一体化信息系统运行状态监视与预警平台</w:t>
            </w:r>
          </w:p>
        </w:tc>
        <w:tc>
          <w:tcPr>
            <w:tcW w:w="1227" w:type="dxa"/>
            <w:vAlign w:val="center"/>
          </w:tcPr>
          <w:p>
            <w:pPr>
              <w:pStyle w:val="20"/>
              <w:rPr>
                <w:rFonts w:ascii="宋体" w:hAnsi="宋体" w:eastAsia="宋体"/>
                <w:color w:val="auto"/>
                <w:highlight w:val="yellow"/>
              </w:rPr>
            </w:pPr>
            <w:r>
              <w:rPr>
                <w:rFonts w:hint="eastAsia" w:ascii="宋体" w:hAnsi="宋体" w:eastAsia="宋体"/>
                <w:color w:val="auto"/>
              </w:rPr>
              <w:t>174万</w:t>
            </w:r>
          </w:p>
        </w:tc>
        <w:tc>
          <w:tcPr>
            <w:tcW w:w="972" w:type="dxa"/>
            <w:vAlign w:val="center"/>
          </w:tcPr>
          <w:p>
            <w:pPr>
              <w:pStyle w:val="20"/>
              <w:rPr>
                <w:rFonts w:ascii="宋体" w:hAnsi="宋体" w:eastAsia="宋体"/>
                <w:color w:val="auto"/>
                <w:highlight w:val="yellow"/>
              </w:rPr>
            </w:pPr>
            <w:r>
              <w:rPr>
                <w:rFonts w:hint="eastAsia" w:ascii="宋体" w:hAnsi="宋体" w:eastAsia="宋体"/>
                <w:color w:val="auto"/>
              </w:rPr>
              <w:t>2017.5</w:t>
            </w:r>
          </w:p>
        </w:tc>
        <w:tc>
          <w:tcPr>
            <w:tcW w:w="1070" w:type="dxa"/>
            <w:vAlign w:val="center"/>
          </w:tcPr>
          <w:p>
            <w:pPr>
              <w:pStyle w:val="20"/>
              <w:rPr>
                <w:rFonts w:ascii="宋体" w:hAnsi="宋体" w:eastAsia="宋体"/>
                <w:color w:val="auto"/>
                <w:highlight w:val="yellow"/>
              </w:rPr>
            </w:pPr>
            <w:r>
              <w:rPr>
                <w:rFonts w:hint="eastAsia" w:ascii="宋体" w:hAnsi="宋体" w:eastAsia="宋体"/>
                <w:color w:val="auto"/>
              </w:rPr>
              <w:t>国网四川省电力公司信息通信公司</w:t>
            </w:r>
          </w:p>
        </w:tc>
        <w:tc>
          <w:tcPr>
            <w:tcW w:w="2557" w:type="dxa"/>
            <w:vAlign w:val="center"/>
          </w:tcPr>
          <w:p>
            <w:pPr>
              <w:pStyle w:val="20"/>
              <w:rPr>
                <w:rFonts w:ascii="宋体" w:hAnsi="宋体" w:eastAsia="宋体"/>
                <w:color w:val="auto"/>
                <w:highlight w:val="yellow"/>
              </w:rPr>
            </w:pPr>
            <w:r>
              <w:rPr>
                <w:rFonts w:hint="eastAsia" w:ascii="宋体" w:hAnsi="宋体" w:eastAsia="宋体"/>
                <w:color w:val="auto"/>
              </w:rPr>
              <w:t>优秀</w:t>
            </w:r>
          </w:p>
        </w:tc>
        <w:tc>
          <w:tcPr>
            <w:tcW w:w="1014" w:type="dxa"/>
            <w:vAlign w:val="center"/>
          </w:tcPr>
          <w:p>
            <w:pPr>
              <w:pStyle w:val="20"/>
              <w:rPr>
                <w:rFonts w:ascii="宋体" w:hAnsi="宋体" w:eastAsia="宋体"/>
                <w:color w:val="auto"/>
                <w:highlight w:val="yellow"/>
              </w:rPr>
            </w:pPr>
            <w:r>
              <w:rPr>
                <w:rFonts w:hint="eastAsia" w:ascii="宋体" w:hAnsi="宋体" w:eastAsia="宋体"/>
                <w:color w:val="auto"/>
              </w:rPr>
              <w:t>028-68132703</w:t>
            </w:r>
          </w:p>
        </w:tc>
      </w:tr>
    </w:tbl>
    <w:p>
      <w:pPr>
        <w:topLinePunct/>
        <w:spacing w:line="360" w:lineRule="auto"/>
        <w:ind w:firstLine="420"/>
        <w:rPr>
          <w:rFonts w:ascii="宋体" w:hAnsi="宋体" w:eastAsia="宋体"/>
        </w:rPr>
      </w:pPr>
      <w:r>
        <w:rPr>
          <w:rFonts w:hint="eastAsia" w:ascii="宋体" w:hAnsi="宋体" w:eastAsia="宋体"/>
        </w:rPr>
        <w:t>注：1.所列项目为投标截止日上一年度已完工项目；2.资信评价或</w:t>
      </w:r>
      <w:r>
        <w:rPr>
          <w:rFonts w:hint="eastAsia" w:ascii="宋体" w:hAnsi="宋体" w:eastAsia="宋体" w:cs="Calibri"/>
          <w:szCs w:val="21"/>
        </w:rPr>
        <w:t>满意度调查</w:t>
      </w:r>
      <w:r>
        <w:rPr>
          <w:rFonts w:hint="eastAsia" w:ascii="宋体" w:hAnsi="宋体" w:eastAsia="宋体"/>
        </w:rPr>
        <w:t>综合结论可分为优秀、良好、合格、较差、很差五档。</w:t>
      </w: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ind w:firstLine="420"/>
        <w:rPr>
          <w:rFonts w:ascii="宋体" w:hAnsi="宋体" w:eastAsia="宋体"/>
          <w:highlight w:val="yellow"/>
        </w:rPr>
      </w:pPr>
    </w:p>
    <w:p>
      <w:pPr>
        <w:topLinePunct/>
        <w:spacing w:line="360" w:lineRule="auto"/>
        <w:rPr>
          <w:rFonts w:ascii="宋体" w:hAnsi="宋体" w:eastAsia="宋体"/>
          <w:highlight w:val="yellow"/>
        </w:rPr>
      </w:pPr>
    </w:p>
    <w:p>
      <w:pPr>
        <w:topLinePunct/>
        <w:spacing w:line="360" w:lineRule="auto"/>
        <w:ind w:firstLine="442" w:firstLineChars="200"/>
        <w:rPr>
          <w:rFonts w:ascii="宋体" w:hAnsi="宋体" w:eastAsia="宋体" w:cs="宋体"/>
          <w:b/>
          <w:bCs/>
          <w:snapToGrid w:val="0"/>
          <w:kern w:val="0"/>
          <w:sz w:val="22"/>
          <w:szCs w:val="20"/>
        </w:rPr>
      </w:pPr>
      <w:r>
        <w:rPr>
          <w:rFonts w:hint="eastAsia" w:ascii="宋体" w:hAnsi="宋体" w:eastAsia="宋体" w:cs="宋体"/>
          <w:b/>
          <w:bCs/>
          <w:snapToGrid w:val="0"/>
          <w:kern w:val="0"/>
          <w:sz w:val="22"/>
          <w:szCs w:val="20"/>
        </w:rPr>
        <w:t>2、 资信评价或满意度调查综合结论的书面证明材料</w:t>
      </w:r>
    </w:p>
    <w:p>
      <w:pPr>
        <w:pStyle w:val="18"/>
        <w:outlineLvl w:val="1"/>
        <w:rPr>
          <w:rFonts w:ascii="宋体" w:hAnsi="宋体"/>
          <w:color w:val="auto"/>
        </w:rPr>
      </w:pPr>
      <w:r>
        <w:rPr>
          <w:rFonts w:hint="eastAsia" w:ascii="宋体" w:hAnsi="宋体"/>
          <w:color w:val="auto"/>
        </w:rPr>
        <w:t>（1）《省地一体化信息系统运行状态监视与预警平台》合同复印件</w:t>
      </w:r>
    </w:p>
    <w:p>
      <w:pPr>
        <w:topLinePunct/>
        <w:spacing w:line="360" w:lineRule="auto"/>
        <w:contextualSpacing/>
        <w:rPr>
          <w:rFonts w:ascii="宋体" w:hAnsi="宋体" w:eastAsia="宋体" w:cs="Times New Roman"/>
          <w:b/>
        </w:rPr>
      </w:pPr>
      <w:bookmarkStart w:id="34" w:name="_GoBack"/>
      <w:bookmarkEnd w:id="34"/>
    </w:p>
    <w:p>
      <w:pPr>
        <w:topLinePunct/>
        <w:spacing w:line="360" w:lineRule="auto"/>
        <w:contextualSpacing/>
        <w:rPr>
          <w:rFonts w:ascii="宋体" w:hAnsi="宋体" w:eastAsia="宋体" w:cs="Times New Roman"/>
          <w:b/>
        </w:rPr>
      </w:pPr>
    </w:p>
    <w:p>
      <w:pPr>
        <w:topLinePunct/>
        <w:spacing w:line="360" w:lineRule="auto"/>
        <w:contextualSpacing/>
        <w:rPr>
          <w:rFonts w:ascii="宋体" w:hAnsi="宋体" w:eastAsia="宋体" w:cs="Times New Roman"/>
          <w:b/>
        </w:rPr>
      </w:pPr>
    </w:p>
    <w:p>
      <w:pPr>
        <w:topLinePunct/>
        <w:spacing w:line="360" w:lineRule="auto"/>
        <w:contextualSpacing/>
        <w:rPr>
          <w:rFonts w:ascii="宋体" w:hAnsi="宋体" w:eastAsia="宋体" w:cs="Times New Roman"/>
          <w:b/>
        </w:rPr>
      </w:pPr>
    </w:p>
    <w:p>
      <w:pPr>
        <w:pStyle w:val="2"/>
        <w:ind w:left="420" w:hanging="420"/>
        <w:rPr>
          <w:rFonts w:ascii="宋体" w:hAnsi="宋体" w:eastAsia="宋体"/>
          <w:sz w:val="28"/>
        </w:rPr>
      </w:pPr>
      <w:bookmarkStart w:id="28" w:name="_Toc14250018"/>
      <w:bookmarkStart w:id="29" w:name="_Toc18149_WPSOffice_Level1"/>
      <w:r>
        <w:rPr>
          <w:rFonts w:hint="eastAsia" w:ascii="宋体" w:hAnsi="宋体" w:eastAsia="宋体"/>
          <w:sz w:val="28"/>
        </w:rPr>
        <w:t>四、评标条件、标准及招标文件要求的其它内容</w:t>
      </w:r>
      <w:bookmarkEnd w:id="28"/>
      <w:bookmarkEnd w:id="29"/>
    </w:p>
    <w:p>
      <w:pPr>
        <w:spacing w:line="360" w:lineRule="auto"/>
        <w:ind w:firstLine="420" w:firstLineChars="200"/>
        <w:contextualSpacing/>
        <w:rPr>
          <w:rFonts w:ascii="宋体" w:hAnsi="宋体" w:eastAsia="宋体" w:cs="Times New Roman"/>
          <w:szCs w:val="21"/>
        </w:rPr>
      </w:pPr>
      <w:r>
        <w:rPr>
          <w:rFonts w:hint="eastAsia" w:ascii="宋体" w:hAnsi="宋体" w:eastAsia="宋体" w:cs="Times New Roman"/>
          <w:szCs w:val="21"/>
        </w:rPr>
        <w:t>无</w:t>
      </w:r>
    </w:p>
    <w:p>
      <w:pPr>
        <w:pStyle w:val="2"/>
        <w:ind w:left="420" w:hanging="420"/>
        <w:rPr>
          <w:rFonts w:ascii="宋体" w:hAnsi="宋体" w:eastAsia="宋体"/>
          <w:sz w:val="28"/>
        </w:rPr>
      </w:pPr>
      <w:bookmarkStart w:id="30" w:name="_Toc26105_WPSOffice_Level1"/>
      <w:bookmarkStart w:id="31" w:name="_Toc14250019"/>
      <w:r>
        <w:rPr>
          <w:rFonts w:hint="eastAsia" w:ascii="宋体" w:hAnsi="宋体" w:eastAsia="宋体"/>
          <w:sz w:val="28"/>
        </w:rPr>
        <w:t>五、投标人需说明的其它问题</w:t>
      </w:r>
      <w:bookmarkEnd w:id="30"/>
      <w:bookmarkEnd w:id="31"/>
    </w:p>
    <w:p>
      <w:pPr>
        <w:topLinePunct/>
        <w:spacing w:line="360" w:lineRule="auto"/>
        <w:ind w:firstLine="420"/>
        <w:contextualSpacing/>
        <w:rPr>
          <w:rFonts w:ascii="宋体" w:hAnsi="宋体" w:eastAsia="宋体" w:cs="Times New Roman"/>
          <w:b/>
          <w:bCs/>
          <w:sz w:val="32"/>
          <w:szCs w:val="32"/>
        </w:rPr>
      </w:pPr>
      <w:r>
        <w:rPr>
          <w:rFonts w:hint="eastAsia" w:ascii="宋体" w:hAnsi="宋体" w:eastAsia="宋体" w:cs="Times New Roman"/>
          <w:szCs w:val="24"/>
        </w:rPr>
        <w:t>无。</w:t>
      </w:r>
    </w:p>
    <w:p>
      <w:pPr>
        <w:pStyle w:val="2"/>
        <w:ind w:left="420" w:hanging="420"/>
        <w:rPr>
          <w:rFonts w:ascii="宋体" w:hAnsi="宋体" w:eastAsia="宋体"/>
          <w:sz w:val="28"/>
        </w:rPr>
      </w:pPr>
      <w:bookmarkStart w:id="32" w:name="_Toc7014_WPSOffice_Level1"/>
      <w:bookmarkStart w:id="33" w:name="_Toc14250020"/>
      <w:r>
        <w:rPr>
          <w:rFonts w:hint="eastAsia" w:ascii="宋体" w:hAnsi="宋体" w:eastAsia="宋体"/>
          <w:sz w:val="28"/>
        </w:rPr>
        <w:t>六、技术偏差表</w:t>
      </w:r>
      <w:bookmarkEnd w:id="32"/>
      <w:bookmarkEnd w:id="33"/>
    </w:p>
    <w:tbl>
      <w:tblPr>
        <w:tblStyle w:val="14"/>
        <w:tblpPr w:leftFromText="180" w:rightFromText="180" w:vertAnchor="text" w:horzAnchor="page" w:tblpX="1802" w:tblpY="466"/>
        <w:tblOverlap w:val="never"/>
        <w:tblW w:w="8528" w:type="dxa"/>
        <w:tblInd w:w="0" w:type="dxa"/>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813"/>
        <w:gridCol w:w="1935"/>
        <w:gridCol w:w="1709"/>
        <w:gridCol w:w="2355"/>
      </w:tblGrid>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序号</w:t>
            </w:r>
          </w:p>
        </w:tc>
        <w:tc>
          <w:tcPr>
            <w:tcW w:w="1813" w:type="dxa"/>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招标文件条目号</w:t>
            </w:r>
          </w:p>
        </w:tc>
        <w:tc>
          <w:tcPr>
            <w:tcW w:w="1935" w:type="dxa"/>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招标文件条款</w:t>
            </w:r>
          </w:p>
        </w:tc>
        <w:tc>
          <w:tcPr>
            <w:tcW w:w="1709" w:type="dxa"/>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投标文件条款</w:t>
            </w:r>
          </w:p>
        </w:tc>
        <w:tc>
          <w:tcPr>
            <w:tcW w:w="2355" w:type="dxa"/>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偏差说明</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 xml:space="preserve"> *1</w:t>
            </w:r>
          </w:p>
        </w:tc>
        <w:tc>
          <w:tcPr>
            <w:tcW w:w="1813" w:type="dxa"/>
            <w:vAlign w:val="center"/>
          </w:tcPr>
          <w:p>
            <w:pPr>
              <w:spacing w:line="360" w:lineRule="auto"/>
              <w:contextualSpacing/>
              <w:rPr>
                <w:rFonts w:ascii="宋体" w:hAnsi="宋体" w:eastAsia="宋体" w:cs="Times New Roman"/>
                <w:szCs w:val="32"/>
              </w:rPr>
            </w:pPr>
          </w:p>
        </w:tc>
        <w:tc>
          <w:tcPr>
            <w:tcW w:w="1935" w:type="dxa"/>
            <w:vAlign w:val="center"/>
          </w:tcPr>
          <w:p>
            <w:pPr>
              <w:spacing w:line="360" w:lineRule="auto"/>
              <w:contextualSpacing/>
              <w:rPr>
                <w:rFonts w:ascii="宋体" w:hAnsi="宋体" w:eastAsia="宋体" w:cs="Times New Roman"/>
                <w:szCs w:val="32"/>
              </w:rPr>
            </w:pPr>
          </w:p>
        </w:tc>
        <w:tc>
          <w:tcPr>
            <w:tcW w:w="1709" w:type="dxa"/>
            <w:vAlign w:val="center"/>
          </w:tcPr>
          <w:p>
            <w:pPr>
              <w:spacing w:line="360" w:lineRule="auto"/>
              <w:contextualSpacing/>
              <w:rPr>
                <w:rFonts w:ascii="宋体" w:hAnsi="宋体" w:eastAsia="宋体" w:cs="Times New Roman"/>
                <w:szCs w:val="32"/>
              </w:rPr>
            </w:pPr>
          </w:p>
        </w:tc>
        <w:tc>
          <w:tcPr>
            <w:tcW w:w="2355" w:type="dxa"/>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无偏差</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line="360" w:lineRule="auto"/>
              <w:contextualSpacing/>
              <w:rPr>
                <w:rFonts w:ascii="宋体" w:hAnsi="宋体" w:eastAsia="宋体" w:cs="Times New Roman"/>
                <w:szCs w:val="32"/>
              </w:rPr>
            </w:pPr>
          </w:p>
        </w:tc>
        <w:tc>
          <w:tcPr>
            <w:tcW w:w="1813" w:type="dxa"/>
            <w:vAlign w:val="center"/>
          </w:tcPr>
          <w:p>
            <w:pPr>
              <w:spacing w:line="360" w:lineRule="auto"/>
              <w:contextualSpacing/>
              <w:rPr>
                <w:rFonts w:ascii="宋体" w:hAnsi="宋体" w:eastAsia="宋体" w:cs="Times New Roman"/>
                <w:szCs w:val="32"/>
              </w:rPr>
            </w:pPr>
          </w:p>
        </w:tc>
        <w:tc>
          <w:tcPr>
            <w:tcW w:w="1935" w:type="dxa"/>
            <w:vAlign w:val="center"/>
          </w:tcPr>
          <w:p>
            <w:pPr>
              <w:spacing w:line="360" w:lineRule="auto"/>
              <w:contextualSpacing/>
              <w:rPr>
                <w:rFonts w:ascii="宋体" w:hAnsi="宋体" w:eastAsia="宋体" w:cs="Times New Roman"/>
                <w:szCs w:val="32"/>
              </w:rPr>
            </w:pPr>
          </w:p>
        </w:tc>
        <w:tc>
          <w:tcPr>
            <w:tcW w:w="1709" w:type="dxa"/>
            <w:vAlign w:val="center"/>
          </w:tcPr>
          <w:p>
            <w:pPr>
              <w:spacing w:line="360" w:lineRule="auto"/>
              <w:contextualSpacing/>
              <w:rPr>
                <w:rFonts w:ascii="宋体" w:hAnsi="宋体" w:eastAsia="宋体" w:cs="Times New Roman"/>
                <w:szCs w:val="32"/>
              </w:rPr>
            </w:pPr>
          </w:p>
        </w:tc>
        <w:tc>
          <w:tcPr>
            <w:tcW w:w="2355" w:type="dxa"/>
            <w:vAlign w:val="center"/>
          </w:tcPr>
          <w:p>
            <w:pPr>
              <w:spacing w:line="360" w:lineRule="auto"/>
              <w:contextualSpacing/>
              <w:rPr>
                <w:rFonts w:ascii="宋体" w:hAnsi="宋体" w:eastAsia="宋体" w:cs="Times New Roman"/>
                <w:szCs w:val="32"/>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line="360" w:lineRule="auto"/>
              <w:contextualSpacing/>
              <w:rPr>
                <w:rFonts w:ascii="宋体" w:hAnsi="宋体" w:eastAsia="宋体" w:cs="Times New Roman"/>
                <w:szCs w:val="32"/>
              </w:rPr>
            </w:pPr>
          </w:p>
        </w:tc>
        <w:tc>
          <w:tcPr>
            <w:tcW w:w="1813" w:type="dxa"/>
            <w:vAlign w:val="center"/>
          </w:tcPr>
          <w:p>
            <w:pPr>
              <w:spacing w:line="360" w:lineRule="auto"/>
              <w:contextualSpacing/>
              <w:rPr>
                <w:rFonts w:ascii="宋体" w:hAnsi="宋体" w:eastAsia="宋体" w:cs="Times New Roman"/>
                <w:szCs w:val="32"/>
              </w:rPr>
            </w:pPr>
          </w:p>
        </w:tc>
        <w:tc>
          <w:tcPr>
            <w:tcW w:w="1935" w:type="dxa"/>
            <w:vAlign w:val="center"/>
          </w:tcPr>
          <w:p>
            <w:pPr>
              <w:spacing w:line="360" w:lineRule="auto"/>
              <w:contextualSpacing/>
              <w:rPr>
                <w:rFonts w:ascii="宋体" w:hAnsi="宋体" w:eastAsia="宋体" w:cs="Times New Roman"/>
                <w:szCs w:val="32"/>
              </w:rPr>
            </w:pPr>
          </w:p>
        </w:tc>
        <w:tc>
          <w:tcPr>
            <w:tcW w:w="1709" w:type="dxa"/>
            <w:vAlign w:val="center"/>
          </w:tcPr>
          <w:p>
            <w:pPr>
              <w:spacing w:line="360" w:lineRule="auto"/>
              <w:contextualSpacing/>
              <w:rPr>
                <w:rFonts w:ascii="宋体" w:hAnsi="宋体" w:eastAsia="宋体" w:cs="Times New Roman"/>
                <w:szCs w:val="32"/>
              </w:rPr>
            </w:pPr>
          </w:p>
        </w:tc>
        <w:tc>
          <w:tcPr>
            <w:tcW w:w="2355" w:type="dxa"/>
            <w:vAlign w:val="center"/>
          </w:tcPr>
          <w:p>
            <w:pPr>
              <w:spacing w:line="360" w:lineRule="auto"/>
              <w:contextualSpacing/>
              <w:rPr>
                <w:rFonts w:ascii="宋体" w:hAnsi="宋体" w:eastAsia="宋体" w:cs="Times New Roman"/>
                <w:szCs w:val="32"/>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line="360" w:lineRule="auto"/>
              <w:contextualSpacing/>
              <w:rPr>
                <w:rFonts w:ascii="宋体" w:hAnsi="宋体" w:eastAsia="宋体" w:cs="Times New Roman"/>
                <w:szCs w:val="32"/>
              </w:rPr>
            </w:pPr>
          </w:p>
        </w:tc>
        <w:tc>
          <w:tcPr>
            <w:tcW w:w="1813" w:type="dxa"/>
            <w:vAlign w:val="center"/>
          </w:tcPr>
          <w:p>
            <w:pPr>
              <w:spacing w:line="360" w:lineRule="auto"/>
              <w:contextualSpacing/>
              <w:rPr>
                <w:rFonts w:ascii="宋体" w:hAnsi="宋体" w:eastAsia="宋体" w:cs="Times New Roman"/>
                <w:szCs w:val="32"/>
              </w:rPr>
            </w:pPr>
          </w:p>
        </w:tc>
        <w:tc>
          <w:tcPr>
            <w:tcW w:w="1935" w:type="dxa"/>
            <w:vAlign w:val="center"/>
          </w:tcPr>
          <w:p>
            <w:pPr>
              <w:spacing w:line="360" w:lineRule="auto"/>
              <w:contextualSpacing/>
              <w:rPr>
                <w:rFonts w:ascii="宋体" w:hAnsi="宋体" w:eastAsia="宋体" w:cs="Times New Roman"/>
                <w:szCs w:val="32"/>
              </w:rPr>
            </w:pPr>
          </w:p>
        </w:tc>
        <w:tc>
          <w:tcPr>
            <w:tcW w:w="1709" w:type="dxa"/>
            <w:vAlign w:val="center"/>
          </w:tcPr>
          <w:p>
            <w:pPr>
              <w:spacing w:line="360" w:lineRule="auto"/>
              <w:contextualSpacing/>
              <w:rPr>
                <w:rFonts w:ascii="宋体" w:hAnsi="宋体" w:eastAsia="宋体" w:cs="Times New Roman"/>
                <w:szCs w:val="32"/>
              </w:rPr>
            </w:pPr>
          </w:p>
        </w:tc>
        <w:tc>
          <w:tcPr>
            <w:tcW w:w="2355" w:type="dxa"/>
            <w:vAlign w:val="center"/>
          </w:tcPr>
          <w:p>
            <w:pPr>
              <w:spacing w:line="360" w:lineRule="auto"/>
              <w:contextualSpacing/>
              <w:rPr>
                <w:rFonts w:ascii="宋体" w:hAnsi="宋体" w:eastAsia="宋体" w:cs="Times New Roman"/>
                <w:szCs w:val="32"/>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line="360" w:lineRule="auto"/>
              <w:contextualSpacing/>
              <w:rPr>
                <w:rFonts w:ascii="宋体" w:hAnsi="宋体" w:eastAsia="宋体" w:cs="Times New Roman"/>
                <w:szCs w:val="32"/>
              </w:rPr>
            </w:pPr>
          </w:p>
        </w:tc>
        <w:tc>
          <w:tcPr>
            <w:tcW w:w="1813" w:type="dxa"/>
            <w:vAlign w:val="center"/>
          </w:tcPr>
          <w:p>
            <w:pPr>
              <w:spacing w:line="360" w:lineRule="auto"/>
              <w:contextualSpacing/>
              <w:rPr>
                <w:rFonts w:ascii="宋体" w:hAnsi="宋体" w:eastAsia="宋体" w:cs="Times New Roman"/>
                <w:szCs w:val="32"/>
              </w:rPr>
            </w:pPr>
          </w:p>
        </w:tc>
        <w:tc>
          <w:tcPr>
            <w:tcW w:w="1935" w:type="dxa"/>
            <w:vAlign w:val="center"/>
          </w:tcPr>
          <w:p>
            <w:pPr>
              <w:spacing w:line="360" w:lineRule="auto"/>
              <w:contextualSpacing/>
              <w:rPr>
                <w:rFonts w:ascii="宋体" w:hAnsi="宋体" w:eastAsia="宋体" w:cs="Times New Roman"/>
                <w:szCs w:val="32"/>
              </w:rPr>
            </w:pPr>
          </w:p>
        </w:tc>
        <w:tc>
          <w:tcPr>
            <w:tcW w:w="1709" w:type="dxa"/>
            <w:vAlign w:val="center"/>
          </w:tcPr>
          <w:p>
            <w:pPr>
              <w:spacing w:line="360" w:lineRule="auto"/>
              <w:contextualSpacing/>
              <w:rPr>
                <w:rFonts w:ascii="宋体" w:hAnsi="宋体" w:eastAsia="宋体" w:cs="Times New Roman"/>
                <w:szCs w:val="32"/>
              </w:rPr>
            </w:pPr>
          </w:p>
        </w:tc>
        <w:tc>
          <w:tcPr>
            <w:tcW w:w="2355" w:type="dxa"/>
            <w:vAlign w:val="center"/>
          </w:tcPr>
          <w:p>
            <w:pPr>
              <w:spacing w:line="360" w:lineRule="auto"/>
              <w:contextualSpacing/>
              <w:rPr>
                <w:rFonts w:ascii="宋体" w:hAnsi="宋体" w:eastAsia="宋体" w:cs="Times New Roman"/>
                <w:szCs w:val="32"/>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line="360" w:lineRule="auto"/>
              <w:contextualSpacing/>
              <w:rPr>
                <w:rFonts w:ascii="宋体" w:hAnsi="宋体" w:eastAsia="宋体" w:cs="Times New Roman"/>
                <w:szCs w:val="32"/>
              </w:rPr>
            </w:pPr>
          </w:p>
        </w:tc>
        <w:tc>
          <w:tcPr>
            <w:tcW w:w="1813" w:type="dxa"/>
            <w:vAlign w:val="center"/>
          </w:tcPr>
          <w:p>
            <w:pPr>
              <w:spacing w:line="360" w:lineRule="auto"/>
              <w:contextualSpacing/>
              <w:rPr>
                <w:rFonts w:ascii="宋体" w:hAnsi="宋体" w:eastAsia="宋体" w:cs="Times New Roman"/>
                <w:szCs w:val="32"/>
              </w:rPr>
            </w:pPr>
          </w:p>
        </w:tc>
        <w:tc>
          <w:tcPr>
            <w:tcW w:w="1935" w:type="dxa"/>
            <w:vAlign w:val="center"/>
          </w:tcPr>
          <w:p>
            <w:pPr>
              <w:spacing w:line="360" w:lineRule="auto"/>
              <w:contextualSpacing/>
              <w:rPr>
                <w:rFonts w:ascii="宋体" w:hAnsi="宋体" w:eastAsia="宋体" w:cs="Times New Roman"/>
                <w:szCs w:val="32"/>
              </w:rPr>
            </w:pPr>
          </w:p>
        </w:tc>
        <w:tc>
          <w:tcPr>
            <w:tcW w:w="1709" w:type="dxa"/>
            <w:vAlign w:val="center"/>
          </w:tcPr>
          <w:p>
            <w:pPr>
              <w:spacing w:line="360" w:lineRule="auto"/>
              <w:contextualSpacing/>
              <w:rPr>
                <w:rFonts w:ascii="宋体" w:hAnsi="宋体" w:eastAsia="宋体" w:cs="Times New Roman"/>
                <w:szCs w:val="32"/>
              </w:rPr>
            </w:pPr>
          </w:p>
        </w:tc>
        <w:tc>
          <w:tcPr>
            <w:tcW w:w="2355" w:type="dxa"/>
            <w:vAlign w:val="center"/>
          </w:tcPr>
          <w:p>
            <w:pPr>
              <w:spacing w:line="360" w:lineRule="auto"/>
              <w:contextualSpacing/>
              <w:rPr>
                <w:rFonts w:ascii="宋体" w:hAnsi="宋体" w:eastAsia="宋体" w:cs="Times New Roman"/>
                <w:szCs w:val="32"/>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vAlign w:val="center"/>
          </w:tcPr>
          <w:p>
            <w:pPr>
              <w:spacing w:line="360" w:lineRule="auto"/>
              <w:contextualSpacing/>
              <w:rPr>
                <w:rFonts w:ascii="宋体" w:hAnsi="宋体" w:eastAsia="宋体" w:cs="Times New Roman"/>
                <w:szCs w:val="32"/>
              </w:rPr>
            </w:pPr>
            <w:r>
              <w:rPr>
                <w:rFonts w:hint="eastAsia" w:ascii="宋体" w:hAnsi="宋体" w:eastAsia="宋体" w:cs="Times New Roman"/>
                <w:szCs w:val="32"/>
              </w:rPr>
              <w:t>编制说明：投标人针对招标文件提出的偏离应填写在本偏差表中，投标人提出的但未在偏差表中列明的偏离，则视为投标人对招标文件响应部分已做出全面响应。</w:t>
            </w:r>
          </w:p>
        </w:tc>
      </w:tr>
    </w:tbl>
    <w:p>
      <w:pPr>
        <w:spacing w:line="360" w:lineRule="auto"/>
        <w:contextualSpacing/>
        <w:rPr>
          <w:rFonts w:ascii="宋体" w:hAnsi="宋体" w:eastAsia="宋体" w:cs="Times New Roman"/>
          <w:bCs/>
          <w:kern w:val="1"/>
          <w:sz w:val="18"/>
          <w:szCs w:val="20"/>
        </w:rPr>
      </w:pPr>
    </w:p>
    <w:p>
      <w:pPr>
        <w:rPr>
          <w:rFonts w:ascii="宋体" w:hAnsi="宋体" w:eastAsia="宋体"/>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34D">
      <wne:macro wne:macroName="MATHTYPECOMMANDS.UILIB.MTCOMMAND_MATHINPUTCONTROL"/>
    </wne:keymap>
    <wne:keymap wne:kcmPrimary="0445">
      <wne:macro wne:macroName="MATHTYPECOMMANDS.UILIB.MTCOMMAND_EDITEQUATIONINPLACE"/>
    </wne:keymap>
    <wne:keymap wne:kcmPrimary="044F">
      <wne:macro wne:macroName="MATHTYPECOMMANDS.UILIB.MTCOMMAND_EDITEQUATIONOPEN"/>
    </wne:keymap>
    <wne:keymap wne:kcmPrimary="0451">
      <wne:macro wne:macroName="MATHTYPECOMMANDS.UILIB.MTCOMMAND_INSERTDISPEQN"/>
    </wne:keymap>
    <wne:keymap wne:kcmPrimary="04DC">
      <wne:macro wne:macroName="MATHTYPECOMMANDS.UILIB.MTCOMMAND_TEXTOGGLE"/>
    </wne:keymap>
    <wne:keymap wne:kcmPrimary="0551">
      <wne:macro wne:macroName="MATHTYPECOMMANDS.UILIB.MTCOMMAND_INSERTRIGHTNUMBEREDDISPEQN"/>
    </wne:keymap>
    <wne:keymap wne:kcmPrimary="0651">
      <wne:macro wne:macroName="MATHTYPECOMMANDS.UILIB.MTCOMMAND_INSERTINLINEEQN"/>
    </wne:keymap>
    <wne:keymap wne:kcmPrimary="0751">
      <wne:macro wne:macroName="MATHTYPECOMMANDS.UILIB.MTCOMMAND_INSERTLEFTNUMBEREDDISPEQN"/>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31D9642E-A80B-4535-8153-DA4D64C9DD37}"/>
  </w:font>
  <w:font w:name="仿宋">
    <w:panose1 w:val="02010609060101010101"/>
    <w:charset w:val="86"/>
    <w:family w:val="modern"/>
    <w:pitch w:val="default"/>
    <w:sig w:usb0="800002BF" w:usb1="38CF7CFA" w:usb2="00000016" w:usb3="00000000" w:csb0="00040001" w:csb1="00000000"/>
    <w:embedRegular r:id="rId2" w:fontKey="{FF4F969E-390B-43AA-ACF1-1D9CC5DE6C38}"/>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___WRD_EMBED_SUB_39">
    <w:altName w:val="宋体"/>
    <w:panose1 w:val="00000000000000000000"/>
    <w:charset w:val="86"/>
    <w:family w:val="modern"/>
    <w:pitch w:val="default"/>
    <w:sig w:usb0="00000000" w:usb1="00000000" w:usb2="00000010" w:usb3="00000000" w:csb0="00040000" w:csb1="00000000"/>
    <w:embedRegular r:id="rId3" w:fontKey="{4E1A0E48-1629-4669-9D66-80B936E38F6B}"/>
  </w:font>
  <w:font w:name="仿宋_GB2312">
    <w:panose1 w:val="02010609030101010101"/>
    <w:charset w:val="86"/>
    <w:family w:val="modern"/>
    <w:pitch w:val="default"/>
    <w:sig w:usb0="00000001" w:usb1="080E0000" w:usb2="00000000" w:usb3="00000000" w:csb0="00040000" w:csb1="00000000"/>
  </w:font>
  <w:font w:name="___WRD_EMBED_SUB_44">
    <w:altName w:val="宋体"/>
    <w:panose1 w:val="00000000000000000000"/>
    <w:charset w:val="86"/>
    <w:family w:val="modern"/>
    <w:pitch w:val="default"/>
    <w:sig w:usb0="00000000" w:usb1="00000000" w:usb2="00000010" w:usb3="00000000" w:csb0="00040000" w:csb1="00000000"/>
    <w:embedRegular r:id="rId4" w:fontKey="{0B600214-22D1-4800-846C-3D36D985BB6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167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167</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6C604"/>
    <w:multiLevelType w:val="multilevel"/>
    <w:tmpl w:val="8BC6C604"/>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C3377E4"/>
    <w:multiLevelType w:val="multilevel"/>
    <w:tmpl w:val="1C3377E4"/>
    <w:lvl w:ilvl="0" w:tentative="0">
      <w:start w:val="1"/>
      <w:numFmt w:val="bullet"/>
      <w:lvlText w:val=""/>
      <w:lvlJc w:val="left"/>
      <w:pPr>
        <w:ind w:left="605" w:hanging="420"/>
      </w:pPr>
      <w:rPr>
        <w:rFonts w:hint="default" w:ascii="Wingdings" w:hAnsi="Wingdings"/>
      </w:rPr>
    </w:lvl>
    <w:lvl w:ilvl="1" w:tentative="0">
      <w:start w:val="1"/>
      <w:numFmt w:val="bullet"/>
      <w:lvlText w:val=""/>
      <w:lvlJc w:val="left"/>
      <w:pPr>
        <w:ind w:left="1025" w:hanging="420"/>
      </w:pPr>
      <w:rPr>
        <w:rFonts w:hint="default" w:ascii="Wingdings" w:hAnsi="Wingdings"/>
      </w:rPr>
    </w:lvl>
    <w:lvl w:ilvl="2" w:tentative="0">
      <w:start w:val="1"/>
      <w:numFmt w:val="bullet"/>
      <w:lvlText w:val=""/>
      <w:lvlJc w:val="left"/>
      <w:pPr>
        <w:ind w:left="1445" w:hanging="420"/>
      </w:pPr>
      <w:rPr>
        <w:rFonts w:hint="default" w:ascii="Wingdings" w:hAnsi="Wingdings"/>
      </w:rPr>
    </w:lvl>
    <w:lvl w:ilvl="3" w:tentative="0">
      <w:start w:val="1"/>
      <w:numFmt w:val="bullet"/>
      <w:lvlText w:val=""/>
      <w:lvlJc w:val="left"/>
      <w:pPr>
        <w:ind w:left="1865" w:hanging="420"/>
      </w:pPr>
      <w:rPr>
        <w:rFonts w:hint="default" w:ascii="Wingdings" w:hAnsi="Wingdings"/>
      </w:rPr>
    </w:lvl>
    <w:lvl w:ilvl="4" w:tentative="0">
      <w:start w:val="1"/>
      <w:numFmt w:val="bullet"/>
      <w:lvlText w:val=""/>
      <w:lvlJc w:val="left"/>
      <w:pPr>
        <w:ind w:left="2285" w:hanging="420"/>
      </w:pPr>
      <w:rPr>
        <w:rFonts w:hint="default" w:ascii="Wingdings" w:hAnsi="Wingdings"/>
      </w:rPr>
    </w:lvl>
    <w:lvl w:ilvl="5" w:tentative="0">
      <w:start w:val="1"/>
      <w:numFmt w:val="bullet"/>
      <w:lvlText w:val=""/>
      <w:lvlJc w:val="left"/>
      <w:pPr>
        <w:ind w:left="2705" w:hanging="420"/>
      </w:pPr>
      <w:rPr>
        <w:rFonts w:hint="default" w:ascii="Wingdings" w:hAnsi="Wingdings"/>
      </w:rPr>
    </w:lvl>
    <w:lvl w:ilvl="6" w:tentative="0">
      <w:start w:val="1"/>
      <w:numFmt w:val="bullet"/>
      <w:lvlText w:val=""/>
      <w:lvlJc w:val="left"/>
      <w:pPr>
        <w:ind w:left="3125" w:hanging="420"/>
      </w:pPr>
      <w:rPr>
        <w:rFonts w:hint="default" w:ascii="Wingdings" w:hAnsi="Wingdings"/>
      </w:rPr>
    </w:lvl>
    <w:lvl w:ilvl="7" w:tentative="0">
      <w:start w:val="1"/>
      <w:numFmt w:val="bullet"/>
      <w:lvlText w:val=""/>
      <w:lvlJc w:val="left"/>
      <w:pPr>
        <w:ind w:left="3545" w:hanging="420"/>
      </w:pPr>
      <w:rPr>
        <w:rFonts w:hint="default" w:ascii="Wingdings" w:hAnsi="Wingdings"/>
      </w:rPr>
    </w:lvl>
    <w:lvl w:ilvl="8" w:tentative="0">
      <w:start w:val="1"/>
      <w:numFmt w:val="bullet"/>
      <w:lvlText w:val=""/>
      <w:lvlJc w:val="left"/>
      <w:pPr>
        <w:ind w:left="3965" w:hanging="420"/>
      </w:pPr>
      <w:rPr>
        <w:rFonts w:hint="default" w:ascii="Wingdings" w:hAnsi="Wingdings"/>
      </w:rPr>
    </w:lvl>
  </w:abstractNum>
  <w:abstractNum w:abstractNumId="2">
    <w:nsid w:val="254B8F04"/>
    <w:multiLevelType w:val="singleLevel"/>
    <w:tmpl w:val="254B8F04"/>
    <w:lvl w:ilvl="0" w:tentative="0">
      <w:start w:val="1"/>
      <w:numFmt w:val="decimal"/>
      <w:suff w:val="nothing"/>
      <w:lvlText w:val="（%1）"/>
      <w:lvlJc w:val="left"/>
    </w:lvl>
  </w:abstractNum>
  <w:abstractNum w:abstractNumId="3">
    <w:nsid w:val="28353B75"/>
    <w:multiLevelType w:val="multilevel"/>
    <w:tmpl w:val="28353B7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F9A62F0"/>
    <w:multiLevelType w:val="multilevel"/>
    <w:tmpl w:val="2F9A62F0"/>
    <w:lvl w:ilvl="0" w:tentative="0">
      <w:start w:val="1"/>
      <w:numFmt w:val="decimal"/>
      <w:lvlText w:val="%1、"/>
      <w:lvlJc w:val="left"/>
      <w:pPr>
        <w:ind w:left="840" w:hanging="420"/>
      </w:pPr>
      <w:rPr>
        <w:rFonts w:ascii="Times New Roman" w:hAnsi="Times New Roman" w:eastAsia="宋体"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AE76F04"/>
    <w:multiLevelType w:val="multilevel"/>
    <w:tmpl w:val="3AE76F04"/>
    <w:lvl w:ilvl="0" w:tentative="0">
      <w:start w:val="1"/>
      <w:numFmt w:val="bullet"/>
      <w:lvlText w:val=""/>
      <w:lvlJc w:val="left"/>
      <w:pPr>
        <w:ind w:left="605" w:hanging="420"/>
      </w:pPr>
      <w:rPr>
        <w:rFonts w:hint="default" w:ascii="Wingdings" w:hAnsi="Wingdings"/>
      </w:rPr>
    </w:lvl>
    <w:lvl w:ilvl="1" w:tentative="0">
      <w:start w:val="1"/>
      <w:numFmt w:val="bullet"/>
      <w:lvlText w:val=""/>
      <w:lvlJc w:val="left"/>
      <w:pPr>
        <w:ind w:left="1025" w:hanging="420"/>
      </w:pPr>
      <w:rPr>
        <w:rFonts w:hint="default" w:ascii="Wingdings" w:hAnsi="Wingdings"/>
      </w:rPr>
    </w:lvl>
    <w:lvl w:ilvl="2" w:tentative="0">
      <w:start w:val="1"/>
      <w:numFmt w:val="bullet"/>
      <w:lvlText w:val=""/>
      <w:lvlJc w:val="left"/>
      <w:pPr>
        <w:ind w:left="1445" w:hanging="420"/>
      </w:pPr>
      <w:rPr>
        <w:rFonts w:hint="default" w:ascii="Wingdings" w:hAnsi="Wingdings"/>
      </w:rPr>
    </w:lvl>
    <w:lvl w:ilvl="3" w:tentative="0">
      <w:start w:val="1"/>
      <w:numFmt w:val="bullet"/>
      <w:lvlText w:val=""/>
      <w:lvlJc w:val="left"/>
      <w:pPr>
        <w:ind w:left="1865" w:hanging="420"/>
      </w:pPr>
      <w:rPr>
        <w:rFonts w:hint="default" w:ascii="Wingdings" w:hAnsi="Wingdings"/>
      </w:rPr>
    </w:lvl>
    <w:lvl w:ilvl="4" w:tentative="0">
      <w:start w:val="1"/>
      <w:numFmt w:val="bullet"/>
      <w:lvlText w:val=""/>
      <w:lvlJc w:val="left"/>
      <w:pPr>
        <w:ind w:left="2285" w:hanging="420"/>
      </w:pPr>
      <w:rPr>
        <w:rFonts w:hint="default" w:ascii="Wingdings" w:hAnsi="Wingdings"/>
      </w:rPr>
    </w:lvl>
    <w:lvl w:ilvl="5" w:tentative="0">
      <w:start w:val="1"/>
      <w:numFmt w:val="bullet"/>
      <w:lvlText w:val=""/>
      <w:lvlJc w:val="left"/>
      <w:pPr>
        <w:ind w:left="2705" w:hanging="420"/>
      </w:pPr>
      <w:rPr>
        <w:rFonts w:hint="default" w:ascii="Wingdings" w:hAnsi="Wingdings"/>
      </w:rPr>
    </w:lvl>
    <w:lvl w:ilvl="6" w:tentative="0">
      <w:start w:val="1"/>
      <w:numFmt w:val="bullet"/>
      <w:lvlText w:val=""/>
      <w:lvlJc w:val="left"/>
      <w:pPr>
        <w:ind w:left="3125" w:hanging="420"/>
      </w:pPr>
      <w:rPr>
        <w:rFonts w:hint="default" w:ascii="Wingdings" w:hAnsi="Wingdings"/>
      </w:rPr>
    </w:lvl>
    <w:lvl w:ilvl="7" w:tentative="0">
      <w:start w:val="1"/>
      <w:numFmt w:val="bullet"/>
      <w:lvlText w:val=""/>
      <w:lvlJc w:val="left"/>
      <w:pPr>
        <w:ind w:left="3545" w:hanging="420"/>
      </w:pPr>
      <w:rPr>
        <w:rFonts w:hint="default" w:ascii="Wingdings" w:hAnsi="Wingdings"/>
      </w:rPr>
    </w:lvl>
    <w:lvl w:ilvl="8" w:tentative="0">
      <w:start w:val="1"/>
      <w:numFmt w:val="bullet"/>
      <w:lvlText w:val=""/>
      <w:lvlJc w:val="left"/>
      <w:pPr>
        <w:ind w:left="3965" w:hanging="420"/>
      </w:pPr>
      <w:rPr>
        <w:rFonts w:hint="default" w:ascii="Wingdings" w:hAnsi="Wingdings"/>
      </w:r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09E"/>
    <w:rsid w:val="00001399"/>
    <w:rsid w:val="00002908"/>
    <w:rsid w:val="00002DD5"/>
    <w:rsid w:val="00004217"/>
    <w:rsid w:val="000070A6"/>
    <w:rsid w:val="000127D8"/>
    <w:rsid w:val="00012E36"/>
    <w:rsid w:val="00013BAD"/>
    <w:rsid w:val="00013E08"/>
    <w:rsid w:val="00014336"/>
    <w:rsid w:val="00017019"/>
    <w:rsid w:val="00017BF4"/>
    <w:rsid w:val="000219A6"/>
    <w:rsid w:val="000219BA"/>
    <w:rsid w:val="0003271F"/>
    <w:rsid w:val="000363D2"/>
    <w:rsid w:val="00036F27"/>
    <w:rsid w:val="00040497"/>
    <w:rsid w:val="00040C41"/>
    <w:rsid w:val="00040EB0"/>
    <w:rsid w:val="000415A6"/>
    <w:rsid w:val="00042CFD"/>
    <w:rsid w:val="000474CB"/>
    <w:rsid w:val="00051194"/>
    <w:rsid w:val="000538E5"/>
    <w:rsid w:val="00053BA4"/>
    <w:rsid w:val="000549D7"/>
    <w:rsid w:val="00056302"/>
    <w:rsid w:val="000653CC"/>
    <w:rsid w:val="000663B9"/>
    <w:rsid w:val="00067F21"/>
    <w:rsid w:val="00071503"/>
    <w:rsid w:val="00071ABA"/>
    <w:rsid w:val="00076FCC"/>
    <w:rsid w:val="00087694"/>
    <w:rsid w:val="00093E95"/>
    <w:rsid w:val="00096F00"/>
    <w:rsid w:val="000A03BE"/>
    <w:rsid w:val="000A47B2"/>
    <w:rsid w:val="000A511B"/>
    <w:rsid w:val="000B1D81"/>
    <w:rsid w:val="000B3FC7"/>
    <w:rsid w:val="000B4995"/>
    <w:rsid w:val="000B49F0"/>
    <w:rsid w:val="000C1A74"/>
    <w:rsid w:val="000C31A0"/>
    <w:rsid w:val="000C39A6"/>
    <w:rsid w:val="000C56BA"/>
    <w:rsid w:val="000C6C27"/>
    <w:rsid w:val="000C7BAD"/>
    <w:rsid w:val="000D10BF"/>
    <w:rsid w:val="000D3A4D"/>
    <w:rsid w:val="000D4D7A"/>
    <w:rsid w:val="000E0416"/>
    <w:rsid w:val="000E06C5"/>
    <w:rsid w:val="000E2D93"/>
    <w:rsid w:val="000E3C8E"/>
    <w:rsid w:val="000E6EC2"/>
    <w:rsid w:val="000F05EF"/>
    <w:rsid w:val="000F0AB0"/>
    <w:rsid w:val="000F3DEF"/>
    <w:rsid w:val="00102F32"/>
    <w:rsid w:val="001038DD"/>
    <w:rsid w:val="001041B8"/>
    <w:rsid w:val="0010546C"/>
    <w:rsid w:val="00107E90"/>
    <w:rsid w:val="00111D40"/>
    <w:rsid w:val="00111FF2"/>
    <w:rsid w:val="001138A4"/>
    <w:rsid w:val="00114BDE"/>
    <w:rsid w:val="00117C5B"/>
    <w:rsid w:val="00120E4C"/>
    <w:rsid w:val="00121A4A"/>
    <w:rsid w:val="00125206"/>
    <w:rsid w:val="00131DD2"/>
    <w:rsid w:val="001347CE"/>
    <w:rsid w:val="001376BF"/>
    <w:rsid w:val="00140126"/>
    <w:rsid w:val="00140D14"/>
    <w:rsid w:val="00142C5D"/>
    <w:rsid w:val="0014493B"/>
    <w:rsid w:val="00145E12"/>
    <w:rsid w:val="00145E90"/>
    <w:rsid w:val="00151FB3"/>
    <w:rsid w:val="0015317B"/>
    <w:rsid w:val="0017047A"/>
    <w:rsid w:val="00172A27"/>
    <w:rsid w:val="001730B7"/>
    <w:rsid w:val="00173DA5"/>
    <w:rsid w:val="00174DCC"/>
    <w:rsid w:val="00177365"/>
    <w:rsid w:val="001773D3"/>
    <w:rsid w:val="00177A4E"/>
    <w:rsid w:val="0018085F"/>
    <w:rsid w:val="001819EF"/>
    <w:rsid w:val="00182D7F"/>
    <w:rsid w:val="00183A4B"/>
    <w:rsid w:val="00185599"/>
    <w:rsid w:val="00185F9E"/>
    <w:rsid w:val="0019245A"/>
    <w:rsid w:val="001929F1"/>
    <w:rsid w:val="001939EC"/>
    <w:rsid w:val="00195860"/>
    <w:rsid w:val="001A3379"/>
    <w:rsid w:val="001A5B20"/>
    <w:rsid w:val="001A6B92"/>
    <w:rsid w:val="001A71BD"/>
    <w:rsid w:val="001A7502"/>
    <w:rsid w:val="001B39C5"/>
    <w:rsid w:val="001B447A"/>
    <w:rsid w:val="001C0499"/>
    <w:rsid w:val="001C4451"/>
    <w:rsid w:val="001C48E3"/>
    <w:rsid w:val="001C5BF6"/>
    <w:rsid w:val="001C6627"/>
    <w:rsid w:val="001D06A7"/>
    <w:rsid w:val="001D3B8E"/>
    <w:rsid w:val="001D4BF3"/>
    <w:rsid w:val="001D5FAB"/>
    <w:rsid w:val="001D74CC"/>
    <w:rsid w:val="001E01B8"/>
    <w:rsid w:val="001E202D"/>
    <w:rsid w:val="001E3EB7"/>
    <w:rsid w:val="001E4AF4"/>
    <w:rsid w:val="001E4B7E"/>
    <w:rsid w:val="001E6049"/>
    <w:rsid w:val="001E6496"/>
    <w:rsid w:val="001E7CC3"/>
    <w:rsid w:val="001F22BC"/>
    <w:rsid w:val="001F2C61"/>
    <w:rsid w:val="001F520E"/>
    <w:rsid w:val="001F63F3"/>
    <w:rsid w:val="001F7A07"/>
    <w:rsid w:val="00200923"/>
    <w:rsid w:val="0020094A"/>
    <w:rsid w:val="002017E5"/>
    <w:rsid w:val="00203E54"/>
    <w:rsid w:val="002074B8"/>
    <w:rsid w:val="002137B4"/>
    <w:rsid w:val="00216039"/>
    <w:rsid w:val="002177D4"/>
    <w:rsid w:val="00222314"/>
    <w:rsid w:val="00222BAE"/>
    <w:rsid w:val="002238DD"/>
    <w:rsid w:val="00225773"/>
    <w:rsid w:val="00227EB8"/>
    <w:rsid w:val="00236264"/>
    <w:rsid w:val="0023749A"/>
    <w:rsid w:val="002456C8"/>
    <w:rsid w:val="0024654A"/>
    <w:rsid w:val="002466BA"/>
    <w:rsid w:val="00247921"/>
    <w:rsid w:val="00251D97"/>
    <w:rsid w:val="00252288"/>
    <w:rsid w:val="00253401"/>
    <w:rsid w:val="002542DC"/>
    <w:rsid w:val="00254597"/>
    <w:rsid w:val="00256487"/>
    <w:rsid w:val="002568ED"/>
    <w:rsid w:val="00256A73"/>
    <w:rsid w:val="0025728B"/>
    <w:rsid w:val="00262D95"/>
    <w:rsid w:val="00263100"/>
    <w:rsid w:val="00264CDE"/>
    <w:rsid w:val="00266DDD"/>
    <w:rsid w:val="00273AEA"/>
    <w:rsid w:val="00280817"/>
    <w:rsid w:val="00284442"/>
    <w:rsid w:val="00284C3D"/>
    <w:rsid w:val="00284D55"/>
    <w:rsid w:val="00285141"/>
    <w:rsid w:val="002854E0"/>
    <w:rsid w:val="0028778D"/>
    <w:rsid w:val="00287F3E"/>
    <w:rsid w:val="00292AB0"/>
    <w:rsid w:val="00295277"/>
    <w:rsid w:val="00295BAA"/>
    <w:rsid w:val="0029648D"/>
    <w:rsid w:val="002A0063"/>
    <w:rsid w:val="002A15D3"/>
    <w:rsid w:val="002A1E49"/>
    <w:rsid w:val="002A42C4"/>
    <w:rsid w:val="002B2AE6"/>
    <w:rsid w:val="002B37BD"/>
    <w:rsid w:val="002B3E67"/>
    <w:rsid w:val="002B5F33"/>
    <w:rsid w:val="002B7434"/>
    <w:rsid w:val="002C0E7F"/>
    <w:rsid w:val="002C3335"/>
    <w:rsid w:val="002C3BDB"/>
    <w:rsid w:val="002C688A"/>
    <w:rsid w:val="002C778B"/>
    <w:rsid w:val="002C789D"/>
    <w:rsid w:val="002D5086"/>
    <w:rsid w:val="002D59AA"/>
    <w:rsid w:val="002D6244"/>
    <w:rsid w:val="002E118F"/>
    <w:rsid w:val="002E439D"/>
    <w:rsid w:val="002E5078"/>
    <w:rsid w:val="002E6477"/>
    <w:rsid w:val="002E6DD2"/>
    <w:rsid w:val="002E6EE0"/>
    <w:rsid w:val="002E7B8A"/>
    <w:rsid w:val="002F1054"/>
    <w:rsid w:val="002F33B4"/>
    <w:rsid w:val="002F7D9E"/>
    <w:rsid w:val="003000D4"/>
    <w:rsid w:val="00300B91"/>
    <w:rsid w:val="00300F55"/>
    <w:rsid w:val="003016A8"/>
    <w:rsid w:val="003024AE"/>
    <w:rsid w:val="00302BCA"/>
    <w:rsid w:val="00305977"/>
    <w:rsid w:val="00305F5E"/>
    <w:rsid w:val="00307078"/>
    <w:rsid w:val="00314030"/>
    <w:rsid w:val="00316A75"/>
    <w:rsid w:val="00317F40"/>
    <w:rsid w:val="00320D6B"/>
    <w:rsid w:val="0032450C"/>
    <w:rsid w:val="0032658C"/>
    <w:rsid w:val="00326AC3"/>
    <w:rsid w:val="003273FF"/>
    <w:rsid w:val="00330B55"/>
    <w:rsid w:val="00331B18"/>
    <w:rsid w:val="00331CDD"/>
    <w:rsid w:val="003357EC"/>
    <w:rsid w:val="003408F4"/>
    <w:rsid w:val="003432CF"/>
    <w:rsid w:val="00344FD8"/>
    <w:rsid w:val="00345199"/>
    <w:rsid w:val="003456B9"/>
    <w:rsid w:val="00345B29"/>
    <w:rsid w:val="00352115"/>
    <w:rsid w:val="003533B3"/>
    <w:rsid w:val="00354769"/>
    <w:rsid w:val="00355289"/>
    <w:rsid w:val="00357224"/>
    <w:rsid w:val="00357FC9"/>
    <w:rsid w:val="00360FD5"/>
    <w:rsid w:val="00364189"/>
    <w:rsid w:val="003649D9"/>
    <w:rsid w:val="0037046C"/>
    <w:rsid w:val="00370951"/>
    <w:rsid w:val="00372799"/>
    <w:rsid w:val="00372B95"/>
    <w:rsid w:val="00380ADC"/>
    <w:rsid w:val="00381FC3"/>
    <w:rsid w:val="003824F3"/>
    <w:rsid w:val="003847FF"/>
    <w:rsid w:val="00385CD1"/>
    <w:rsid w:val="0038654E"/>
    <w:rsid w:val="003875C0"/>
    <w:rsid w:val="00387C13"/>
    <w:rsid w:val="003914E7"/>
    <w:rsid w:val="003925F0"/>
    <w:rsid w:val="00396EFD"/>
    <w:rsid w:val="003976C5"/>
    <w:rsid w:val="003A206E"/>
    <w:rsid w:val="003A6807"/>
    <w:rsid w:val="003A7B1D"/>
    <w:rsid w:val="003A7D02"/>
    <w:rsid w:val="003B1976"/>
    <w:rsid w:val="003B2457"/>
    <w:rsid w:val="003B4007"/>
    <w:rsid w:val="003C190A"/>
    <w:rsid w:val="003C282D"/>
    <w:rsid w:val="003C28C2"/>
    <w:rsid w:val="003C3E08"/>
    <w:rsid w:val="003D176F"/>
    <w:rsid w:val="003D1C6A"/>
    <w:rsid w:val="003D1CC4"/>
    <w:rsid w:val="003D43BD"/>
    <w:rsid w:val="003D51DA"/>
    <w:rsid w:val="003E02A9"/>
    <w:rsid w:val="003E20E6"/>
    <w:rsid w:val="003E6771"/>
    <w:rsid w:val="003E7EDE"/>
    <w:rsid w:val="003F2DDA"/>
    <w:rsid w:val="003F316D"/>
    <w:rsid w:val="003F57FD"/>
    <w:rsid w:val="003F7EFF"/>
    <w:rsid w:val="004029DB"/>
    <w:rsid w:val="0040383B"/>
    <w:rsid w:val="004054E3"/>
    <w:rsid w:val="00406EB8"/>
    <w:rsid w:val="004100EB"/>
    <w:rsid w:val="00411AC8"/>
    <w:rsid w:val="00412071"/>
    <w:rsid w:val="0041309E"/>
    <w:rsid w:val="0041520F"/>
    <w:rsid w:val="004179A1"/>
    <w:rsid w:val="00421922"/>
    <w:rsid w:val="00425781"/>
    <w:rsid w:val="0042663B"/>
    <w:rsid w:val="004304B7"/>
    <w:rsid w:val="00432D02"/>
    <w:rsid w:val="00435F12"/>
    <w:rsid w:val="0043752F"/>
    <w:rsid w:val="0044019D"/>
    <w:rsid w:val="004403D6"/>
    <w:rsid w:val="0044195F"/>
    <w:rsid w:val="00441E96"/>
    <w:rsid w:val="00445F85"/>
    <w:rsid w:val="004466F0"/>
    <w:rsid w:val="00450FF6"/>
    <w:rsid w:val="00453DBD"/>
    <w:rsid w:val="00454B8C"/>
    <w:rsid w:val="0045779F"/>
    <w:rsid w:val="00461166"/>
    <w:rsid w:val="00462F79"/>
    <w:rsid w:val="00463065"/>
    <w:rsid w:val="00463078"/>
    <w:rsid w:val="0046326E"/>
    <w:rsid w:val="00464BC3"/>
    <w:rsid w:val="00465BFE"/>
    <w:rsid w:val="00467F92"/>
    <w:rsid w:val="004739BE"/>
    <w:rsid w:val="00475099"/>
    <w:rsid w:val="00475AE1"/>
    <w:rsid w:val="00476AAC"/>
    <w:rsid w:val="0047742C"/>
    <w:rsid w:val="004779F2"/>
    <w:rsid w:val="00481BA7"/>
    <w:rsid w:val="00483710"/>
    <w:rsid w:val="00485576"/>
    <w:rsid w:val="00486461"/>
    <w:rsid w:val="0048706E"/>
    <w:rsid w:val="00490934"/>
    <w:rsid w:val="00492710"/>
    <w:rsid w:val="00496662"/>
    <w:rsid w:val="004A2A73"/>
    <w:rsid w:val="004A5165"/>
    <w:rsid w:val="004A731A"/>
    <w:rsid w:val="004A7D55"/>
    <w:rsid w:val="004B1C2F"/>
    <w:rsid w:val="004B3562"/>
    <w:rsid w:val="004B70B7"/>
    <w:rsid w:val="004C44A5"/>
    <w:rsid w:val="004C52FE"/>
    <w:rsid w:val="004C538C"/>
    <w:rsid w:val="004C693C"/>
    <w:rsid w:val="004C7669"/>
    <w:rsid w:val="004D1C36"/>
    <w:rsid w:val="004D3517"/>
    <w:rsid w:val="004D3693"/>
    <w:rsid w:val="004D513D"/>
    <w:rsid w:val="004D787A"/>
    <w:rsid w:val="004E0A8F"/>
    <w:rsid w:val="004E1595"/>
    <w:rsid w:val="004E239B"/>
    <w:rsid w:val="004E42F1"/>
    <w:rsid w:val="004E50F2"/>
    <w:rsid w:val="004E6442"/>
    <w:rsid w:val="004E6E8B"/>
    <w:rsid w:val="004F1753"/>
    <w:rsid w:val="004F27F9"/>
    <w:rsid w:val="004F3035"/>
    <w:rsid w:val="004F3DF7"/>
    <w:rsid w:val="004F61D8"/>
    <w:rsid w:val="00500CD8"/>
    <w:rsid w:val="00501B73"/>
    <w:rsid w:val="00505E94"/>
    <w:rsid w:val="0050723D"/>
    <w:rsid w:val="00510455"/>
    <w:rsid w:val="005105A5"/>
    <w:rsid w:val="005116E6"/>
    <w:rsid w:val="00511AFA"/>
    <w:rsid w:val="00512969"/>
    <w:rsid w:val="00512D15"/>
    <w:rsid w:val="00514B91"/>
    <w:rsid w:val="00521055"/>
    <w:rsid w:val="005221C4"/>
    <w:rsid w:val="0052249C"/>
    <w:rsid w:val="00527189"/>
    <w:rsid w:val="00527368"/>
    <w:rsid w:val="005278C6"/>
    <w:rsid w:val="0053022C"/>
    <w:rsid w:val="00530657"/>
    <w:rsid w:val="005350B6"/>
    <w:rsid w:val="00536F81"/>
    <w:rsid w:val="005378E3"/>
    <w:rsid w:val="00537B6D"/>
    <w:rsid w:val="00537D33"/>
    <w:rsid w:val="005408A5"/>
    <w:rsid w:val="00541ED8"/>
    <w:rsid w:val="00542FC0"/>
    <w:rsid w:val="005512D1"/>
    <w:rsid w:val="00551971"/>
    <w:rsid w:val="005526DD"/>
    <w:rsid w:val="005532F7"/>
    <w:rsid w:val="005568B5"/>
    <w:rsid w:val="00557F13"/>
    <w:rsid w:val="005625D1"/>
    <w:rsid w:val="00563316"/>
    <w:rsid w:val="00563854"/>
    <w:rsid w:val="00564783"/>
    <w:rsid w:val="0057208C"/>
    <w:rsid w:val="00573341"/>
    <w:rsid w:val="005746EE"/>
    <w:rsid w:val="0057539E"/>
    <w:rsid w:val="00582F0B"/>
    <w:rsid w:val="005848A5"/>
    <w:rsid w:val="0058751A"/>
    <w:rsid w:val="005903AF"/>
    <w:rsid w:val="005944D2"/>
    <w:rsid w:val="00594F8F"/>
    <w:rsid w:val="005952B5"/>
    <w:rsid w:val="005A0CE3"/>
    <w:rsid w:val="005A421C"/>
    <w:rsid w:val="005A48E3"/>
    <w:rsid w:val="005A72C1"/>
    <w:rsid w:val="005B3DB1"/>
    <w:rsid w:val="005B6555"/>
    <w:rsid w:val="005B702C"/>
    <w:rsid w:val="005C2613"/>
    <w:rsid w:val="005C3668"/>
    <w:rsid w:val="005C4257"/>
    <w:rsid w:val="005C46F9"/>
    <w:rsid w:val="005C6628"/>
    <w:rsid w:val="005C7F8F"/>
    <w:rsid w:val="005D1FB2"/>
    <w:rsid w:val="005D2365"/>
    <w:rsid w:val="005D5F7D"/>
    <w:rsid w:val="005E2DAE"/>
    <w:rsid w:val="005E4E11"/>
    <w:rsid w:val="005E6DE3"/>
    <w:rsid w:val="005E7580"/>
    <w:rsid w:val="005F3D40"/>
    <w:rsid w:val="0060088B"/>
    <w:rsid w:val="00600967"/>
    <w:rsid w:val="00603085"/>
    <w:rsid w:val="00610128"/>
    <w:rsid w:val="0061350D"/>
    <w:rsid w:val="00616BFC"/>
    <w:rsid w:val="006201B6"/>
    <w:rsid w:val="006202B1"/>
    <w:rsid w:val="00621B17"/>
    <w:rsid w:val="00622A02"/>
    <w:rsid w:val="00622FE2"/>
    <w:rsid w:val="0062585D"/>
    <w:rsid w:val="00630006"/>
    <w:rsid w:val="006316DD"/>
    <w:rsid w:val="00631CA8"/>
    <w:rsid w:val="00633FE7"/>
    <w:rsid w:val="00641182"/>
    <w:rsid w:val="006424A0"/>
    <w:rsid w:val="00642D1C"/>
    <w:rsid w:val="0064397D"/>
    <w:rsid w:val="00643D9B"/>
    <w:rsid w:val="00645CFD"/>
    <w:rsid w:val="00651AFA"/>
    <w:rsid w:val="00653C3E"/>
    <w:rsid w:val="00655F48"/>
    <w:rsid w:val="00657E50"/>
    <w:rsid w:val="006608E8"/>
    <w:rsid w:val="00665573"/>
    <w:rsid w:val="0066650C"/>
    <w:rsid w:val="0067188B"/>
    <w:rsid w:val="006718CD"/>
    <w:rsid w:val="00672FB2"/>
    <w:rsid w:val="00675167"/>
    <w:rsid w:val="00676833"/>
    <w:rsid w:val="006801FF"/>
    <w:rsid w:val="00680470"/>
    <w:rsid w:val="00681CA6"/>
    <w:rsid w:val="00682283"/>
    <w:rsid w:val="0068568A"/>
    <w:rsid w:val="006872CB"/>
    <w:rsid w:val="00691B4C"/>
    <w:rsid w:val="00692D09"/>
    <w:rsid w:val="006961EB"/>
    <w:rsid w:val="006A1973"/>
    <w:rsid w:val="006A5671"/>
    <w:rsid w:val="006A73CE"/>
    <w:rsid w:val="006B2301"/>
    <w:rsid w:val="006B35A7"/>
    <w:rsid w:val="006C0EC6"/>
    <w:rsid w:val="006C33E4"/>
    <w:rsid w:val="006C4A54"/>
    <w:rsid w:val="006D122F"/>
    <w:rsid w:val="006D1F12"/>
    <w:rsid w:val="006D28DD"/>
    <w:rsid w:val="006D31C9"/>
    <w:rsid w:val="006D3CAF"/>
    <w:rsid w:val="006D5ACD"/>
    <w:rsid w:val="006D6860"/>
    <w:rsid w:val="006E3C4F"/>
    <w:rsid w:val="006E3E3C"/>
    <w:rsid w:val="006E4CDE"/>
    <w:rsid w:val="006E6902"/>
    <w:rsid w:val="006E7B1C"/>
    <w:rsid w:val="006F0351"/>
    <w:rsid w:val="006F1F1A"/>
    <w:rsid w:val="006F470D"/>
    <w:rsid w:val="006F4A94"/>
    <w:rsid w:val="006F6D92"/>
    <w:rsid w:val="00700552"/>
    <w:rsid w:val="0070216A"/>
    <w:rsid w:val="00707921"/>
    <w:rsid w:val="00715047"/>
    <w:rsid w:val="00716DEC"/>
    <w:rsid w:val="00717380"/>
    <w:rsid w:val="0071797A"/>
    <w:rsid w:val="00721306"/>
    <w:rsid w:val="00721A99"/>
    <w:rsid w:val="00721AED"/>
    <w:rsid w:val="0072332E"/>
    <w:rsid w:val="00724F59"/>
    <w:rsid w:val="00726AE3"/>
    <w:rsid w:val="00727A49"/>
    <w:rsid w:val="00727AF3"/>
    <w:rsid w:val="00731FE9"/>
    <w:rsid w:val="00733EE9"/>
    <w:rsid w:val="00736ABA"/>
    <w:rsid w:val="00743207"/>
    <w:rsid w:val="00744E6F"/>
    <w:rsid w:val="00746FCA"/>
    <w:rsid w:val="007518DC"/>
    <w:rsid w:val="00752BDA"/>
    <w:rsid w:val="0075327B"/>
    <w:rsid w:val="00753E86"/>
    <w:rsid w:val="007566C7"/>
    <w:rsid w:val="00756C92"/>
    <w:rsid w:val="00764CCC"/>
    <w:rsid w:val="00766231"/>
    <w:rsid w:val="00770D0D"/>
    <w:rsid w:val="00775A14"/>
    <w:rsid w:val="00775D4B"/>
    <w:rsid w:val="00782836"/>
    <w:rsid w:val="00790A71"/>
    <w:rsid w:val="00791802"/>
    <w:rsid w:val="007922F9"/>
    <w:rsid w:val="0079329B"/>
    <w:rsid w:val="00795B38"/>
    <w:rsid w:val="007A15AE"/>
    <w:rsid w:val="007A187E"/>
    <w:rsid w:val="007A5527"/>
    <w:rsid w:val="007B1269"/>
    <w:rsid w:val="007B20BA"/>
    <w:rsid w:val="007B2C61"/>
    <w:rsid w:val="007C0D2C"/>
    <w:rsid w:val="007C15B7"/>
    <w:rsid w:val="007C380C"/>
    <w:rsid w:val="007C55E0"/>
    <w:rsid w:val="007D00C6"/>
    <w:rsid w:val="007D47B2"/>
    <w:rsid w:val="007D6740"/>
    <w:rsid w:val="007D69A8"/>
    <w:rsid w:val="007E0F14"/>
    <w:rsid w:val="007E1223"/>
    <w:rsid w:val="007E2A91"/>
    <w:rsid w:val="007E39EB"/>
    <w:rsid w:val="007E7DBF"/>
    <w:rsid w:val="007F099E"/>
    <w:rsid w:val="007F19FF"/>
    <w:rsid w:val="007F3C12"/>
    <w:rsid w:val="007F3FF9"/>
    <w:rsid w:val="007F5D1E"/>
    <w:rsid w:val="00801289"/>
    <w:rsid w:val="00804CAD"/>
    <w:rsid w:val="00805DF8"/>
    <w:rsid w:val="008128DD"/>
    <w:rsid w:val="008156AC"/>
    <w:rsid w:val="008201C9"/>
    <w:rsid w:val="00821D70"/>
    <w:rsid w:val="008240C2"/>
    <w:rsid w:val="00824629"/>
    <w:rsid w:val="00824ABE"/>
    <w:rsid w:val="008275FD"/>
    <w:rsid w:val="0083182E"/>
    <w:rsid w:val="008318E7"/>
    <w:rsid w:val="00831B51"/>
    <w:rsid w:val="00833736"/>
    <w:rsid w:val="00834768"/>
    <w:rsid w:val="00835F74"/>
    <w:rsid w:val="00840A50"/>
    <w:rsid w:val="008422C6"/>
    <w:rsid w:val="00843E93"/>
    <w:rsid w:val="00846B63"/>
    <w:rsid w:val="00850A3E"/>
    <w:rsid w:val="008557EA"/>
    <w:rsid w:val="008577C4"/>
    <w:rsid w:val="0086068D"/>
    <w:rsid w:val="0086507B"/>
    <w:rsid w:val="00866553"/>
    <w:rsid w:val="00867C5F"/>
    <w:rsid w:val="00870342"/>
    <w:rsid w:val="00871149"/>
    <w:rsid w:val="00873A64"/>
    <w:rsid w:val="008803F1"/>
    <w:rsid w:val="0088091A"/>
    <w:rsid w:val="00882E41"/>
    <w:rsid w:val="0088502A"/>
    <w:rsid w:val="0088509D"/>
    <w:rsid w:val="00885361"/>
    <w:rsid w:val="00885AE5"/>
    <w:rsid w:val="00886FF2"/>
    <w:rsid w:val="008900A4"/>
    <w:rsid w:val="00890618"/>
    <w:rsid w:val="00890C4C"/>
    <w:rsid w:val="00891799"/>
    <w:rsid w:val="00891DA3"/>
    <w:rsid w:val="00893C2A"/>
    <w:rsid w:val="00895F2F"/>
    <w:rsid w:val="0089636A"/>
    <w:rsid w:val="008969F0"/>
    <w:rsid w:val="0089774E"/>
    <w:rsid w:val="008A1AFC"/>
    <w:rsid w:val="008A4F78"/>
    <w:rsid w:val="008A508D"/>
    <w:rsid w:val="008A5A1F"/>
    <w:rsid w:val="008A6AF4"/>
    <w:rsid w:val="008B0F5E"/>
    <w:rsid w:val="008B23C0"/>
    <w:rsid w:val="008B4462"/>
    <w:rsid w:val="008B5B7E"/>
    <w:rsid w:val="008C27A1"/>
    <w:rsid w:val="008C3932"/>
    <w:rsid w:val="008C6034"/>
    <w:rsid w:val="008C6424"/>
    <w:rsid w:val="008C671A"/>
    <w:rsid w:val="008C7373"/>
    <w:rsid w:val="008D6183"/>
    <w:rsid w:val="008E307A"/>
    <w:rsid w:val="008E3968"/>
    <w:rsid w:val="008F07F7"/>
    <w:rsid w:val="008F22BE"/>
    <w:rsid w:val="008F49F7"/>
    <w:rsid w:val="008F5196"/>
    <w:rsid w:val="008F5E18"/>
    <w:rsid w:val="008F63BB"/>
    <w:rsid w:val="008F7C56"/>
    <w:rsid w:val="00900010"/>
    <w:rsid w:val="00900F70"/>
    <w:rsid w:val="00903AC8"/>
    <w:rsid w:val="009053BF"/>
    <w:rsid w:val="00905C48"/>
    <w:rsid w:val="0091064D"/>
    <w:rsid w:val="009109F2"/>
    <w:rsid w:val="00911E4F"/>
    <w:rsid w:val="00912FD3"/>
    <w:rsid w:val="00914765"/>
    <w:rsid w:val="00915B52"/>
    <w:rsid w:val="00916B6E"/>
    <w:rsid w:val="00917E8F"/>
    <w:rsid w:val="009202AF"/>
    <w:rsid w:val="009219E0"/>
    <w:rsid w:val="00921C36"/>
    <w:rsid w:val="009249A8"/>
    <w:rsid w:val="00926852"/>
    <w:rsid w:val="009273A3"/>
    <w:rsid w:val="00930BF2"/>
    <w:rsid w:val="00931A97"/>
    <w:rsid w:val="00935B67"/>
    <w:rsid w:val="009363F7"/>
    <w:rsid w:val="009365CF"/>
    <w:rsid w:val="0094471C"/>
    <w:rsid w:val="00950D4C"/>
    <w:rsid w:val="00953013"/>
    <w:rsid w:val="0095795B"/>
    <w:rsid w:val="009606F9"/>
    <w:rsid w:val="00963735"/>
    <w:rsid w:val="009675D1"/>
    <w:rsid w:val="00972DE4"/>
    <w:rsid w:val="009744B7"/>
    <w:rsid w:val="009868F9"/>
    <w:rsid w:val="00987C06"/>
    <w:rsid w:val="00990114"/>
    <w:rsid w:val="009A3404"/>
    <w:rsid w:val="009A4F63"/>
    <w:rsid w:val="009B2047"/>
    <w:rsid w:val="009B3BCF"/>
    <w:rsid w:val="009B4BC1"/>
    <w:rsid w:val="009B7A74"/>
    <w:rsid w:val="009C047A"/>
    <w:rsid w:val="009C0570"/>
    <w:rsid w:val="009C3831"/>
    <w:rsid w:val="009C61ED"/>
    <w:rsid w:val="009D631D"/>
    <w:rsid w:val="009D7DAD"/>
    <w:rsid w:val="009E0663"/>
    <w:rsid w:val="009E082F"/>
    <w:rsid w:val="009E0E83"/>
    <w:rsid w:val="009F09D9"/>
    <w:rsid w:val="009F1074"/>
    <w:rsid w:val="009F1117"/>
    <w:rsid w:val="009F1E63"/>
    <w:rsid w:val="009F4114"/>
    <w:rsid w:val="009F4F14"/>
    <w:rsid w:val="009F589F"/>
    <w:rsid w:val="009F734D"/>
    <w:rsid w:val="00A01A92"/>
    <w:rsid w:val="00A046EC"/>
    <w:rsid w:val="00A055B0"/>
    <w:rsid w:val="00A05CDA"/>
    <w:rsid w:val="00A102A0"/>
    <w:rsid w:val="00A166BA"/>
    <w:rsid w:val="00A16D5A"/>
    <w:rsid w:val="00A200A1"/>
    <w:rsid w:val="00A233B8"/>
    <w:rsid w:val="00A23859"/>
    <w:rsid w:val="00A2470D"/>
    <w:rsid w:val="00A24EF6"/>
    <w:rsid w:val="00A25E28"/>
    <w:rsid w:val="00A26F93"/>
    <w:rsid w:val="00A30BC7"/>
    <w:rsid w:val="00A32676"/>
    <w:rsid w:val="00A34D56"/>
    <w:rsid w:val="00A3767E"/>
    <w:rsid w:val="00A37C9E"/>
    <w:rsid w:val="00A403D3"/>
    <w:rsid w:val="00A4137D"/>
    <w:rsid w:val="00A418B6"/>
    <w:rsid w:val="00A422DE"/>
    <w:rsid w:val="00A43296"/>
    <w:rsid w:val="00A43716"/>
    <w:rsid w:val="00A451A4"/>
    <w:rsid w:val="00A47FAD"/>
    <w:rsid w:val="00A51E06"/>
    <w:rsid w:val="00A52045"/>
    <w:rsid w:val="00A53919"/>
    <w:rsid w:val="00A577D6"/>
    <w:rsid w:val="00A57D88"/>
    <w:rsid w:val="00A65FDB"/>
    <w:rsid w:val="00A67218"/>
    <w:rsid w:val="00A7033E"/>
    <w:rsid w:val="00A71C77"/>
    <w:rsid w:val="00A7314D"/>
    <w:rsid w:val="00A7329E"/>
    <w:rsid w:val="00A73446"/>
    <w:rsid w:val="00A77D40"/>
    <w:rsid w:val="00A80DC3"/>
    <w:rsid w:val="00A8201F"/>
    <w:rsid w:val="00A83258"/>
    <w:rsid w:val="00A83FA7"/>
    <w:rsid w:val="00A84174"/>
    <w:rsid w:val="00A84ECF"/>
    <w:rsid w:val="00A85A5C"/>
    <w:rsid w:val="00A86B89"/>
    <w:rsid w:val="00A95106"/>
    <w:rsid w:val="00AA1776"/>
    <w:rsid w:val="00AA45D0"/>
    <w:rsid w:val="00AA5129"/>
    <w:rsid w:val="00AA6C5F"/>
    <w:rsid w:val="00AA6ECA"/>
    <w:rsid w:val="00AB1BAA"/>
    <w:rsid w:val="00AB44BC"/>
    <w:rsid w:val="00AB6CAD"/>
    <w:rsid w:val="00AC1024"/>
    <w:rsid w:val="00AC181E"/>
    <w:rsid w:val="00AC19F4"/>
    <w:rsid w:val="00AC4E78"/>
    <w:rsid w:val="00AC572E"/>
    <w:rsid w:val="00AD10E0"/>
    <w:rsid w:val="00AD1B1A"/>
    <w:rsid w:val="00AD1E42"/>
    <w:rsid w:val="00AD69F6"/>
    <w:rsid w:val="00AD7C72"/>
    <w:rsid w:val="00AE1AAC"/>
    <w:rsid w:val="00AE1D89"/>
    <w:rsid w:val="00AE217E"/>
    <w:rsid w:val="00AE2969"/>
    <w:rsid w:val="00AE47C4"/>
    <w:rsid w:val="00AE5E92"/>
    <w:rsid w:val="00AF2639"/>
    <w:rsid w:val="00AF3627"/>
    <w:rsid w:val="00AF3E54"/>
    <w:rsid w:val="00AF5B80"/>
    <w:rsid w:val="00B00065"/>
    <w:rsid w:val="00B00D22"/>
    <w:rsid w:val="00B02EE6"/>
    <w:rsid w:val="00B03884"/>
    <w:rsid w:val="00B03E15"/>
    <w:rsid w:val="00B05686"/>
    <w:rsid w:val="00B06393"/>
    <w:rsid w:val="00B07F53"/>
    <w:rsid w:val="00B12508"/>
    <w:rsid w:val="00B125BD"/>
    <w:rsid w:val="00B1261B"/>
    <w:rsid w:val="00B12E94"/>
    <w:rsid w:val="00B14C76"/>
    <w:rsid w:val="00B160E9"/>
    <w:rsid w:val="00B30343"/>
    <w:rsid w:val="00B3131A"/>
    <w:rsid w:val="00B31671"/>
    <w:rsid w:val="00B3539F"/>
    <w:rsid w:val="00B353E2"/>
    <w:rsid w:val="00B37FAA"/>
    <w:rsid w:val="00B476CD"/>
    <w:rsid w:val="00B50951"/>
    <w:rsid w:val="00B51263"/>
    <w:rsid w:val="00B5302D"/>
    <w:rsid w:val="00B53452"/>
    <w:rsid w:val="00B54B54"/>
    <w:rsid w:val="00B54CE4"/>
    <w:rsid w:val="00B54FDB"/>
    <w:rsid w:val="00B5606A"/>
    <w:rsid w:val="00B562E0"/>
    <w:rsid w:val="00B61928"/>
    <w:rsid w:val="00B61EC4"/>
    <w:rsid w:val="00B6442B"/>
    <w:rsid w:val="00B660FF"/>
    <w:rsid w:val="00B66512"/>
    <w:rsid w:val="00B72653"/>
    <w:rsid w:val="00B72D17"/>
    <w:rsid w:val="00B72E3C"/>
    <w:rsid w:val="00B82496"/>
    <w:rsid w:val="00B82EAA"/>
    <w:rsid w:val="00B83DB8"/>
    <w:rsid w:val="00B871A0"/>
    <w:rsid w:val="00B94EB4"/>
    <w:rsid w:val="00B95C5A"/>
    <w:rsid w:val="00B971F8"/>
    <w:rsid w:val="00BA1945"/>
    <w:rsid w:val="00BA1A55"/>
    <w:rsid w:val="00BA2F2B"/>
    <w:rsid w:val="00BA4942"/>
    <w:rsid w:val="00BA4BD4"/>
    <w:rsid w:val="00BA5164"/>
    <w:rsid w:val="00BA5F48"/>
    <w:rsid w:val="00BA6E91"/>
    <w:rsid w:val="00BA70E5"/>
    <w:rsid w:val="00BA767B"/>
    <w:rsid w:val="00BB326C"/>
    <w:rsid w:val="00BB465E"/>
    <w:rsid w:val="00BB7E5D"/>
    <w:rsid w:val="00BC0939"/>
    <w:rsid w:val="00BC26ED"/>
    <w:rsid w:val="00BC4F81"/>
    <w:rsid w:val="00BC733B"/>
    <w:rsid w:val="00BC7383"/>
    <w:rsid w:val="00BC772C"/>
    <w:rsid w:val="00BC7815"/>
    <w:rsid w:val="00BD00F3"/>
    <w:rsid w:val="00BD1824"/>
    <w:rsid w:val="00BD1F8C"/>
    <w:rsid w:val="00BD5589"/>
    <w:rsid w:val="00BD5767"/>
    <w:rsid w:val="00BD7386"/>
    <w:rsid w:val="00BE02FD"/>
    <w:rsid w:val="00BE0634"/>
    <w:rsid w:val="00BE5380"/>
    <w:rsid w:val="00BE7889"/>
    <w:rsid w:val="00BF03EE"/>
    <w:rsid w:val="00BF1CAC"/>
    <w:rsid w:val="00BF2CF0"/>
    <w:rsid w:val="00BF326A"/>
    <w:rsid w:val="00C00CD7"/>
    <w:rsid w:val="00C03A2F"/>
    <w:rsid w:val="00C0424F"/>
    <w:rsid w:val="00C04A36"/>
    <w:rsid w:val="00C0511D"/>
    <w:rsid w:val="00C053C7"/>
    <w:rsid w:val="00C05F1F"/>
    <w:rsid w:val="00C070A4"/>
    <w:rsid w:val="00C13F5F"/>
    <w:rsid w:val="00C1519E"/>
    <w:rsid w:val="00C17576"/>
    <w:rsid w:val="00C20523"/>
    <w:rsid w:val="00C21F33"/>
    <w:rsid w:val="00C23F61"/>
    <w:rsid w:val="00C250F8"/>
    <w:rsid w:val="00C264BE"/>
    <w:rsid w:val="00C27473"/>
    <w:rsid w:val="00C30526"/>
    <w:rsid w:val="00C323C1"/>
    <w:rsid w:val="00C326B0"/>
    <w:rsid w:val="00C33CF5"/>
    <w:rsid w:val="00C33DF3"/>
    <w:rsid w:val="00C341E2"/>
    <w:rsid w:val="00C3562D"/>
    <w:rsid w:val="00C40D59"/>
    <w:rsid w:val="00C4151C"/>
    <w:rsid w:val="00C43669"/>
    <w:rsid w:val="00C453B7"/>
    <w:rsid w:val="00C53113"/>
    <w:rsid w:val="00C536F8"/>
    <w:rsid w:val="00C546A5"/>
    <w:rsid w:val="00C54FE9"/>
    <w:rsid w:val="00C552C5"/>
    <w:rsid w:val="00C56F19"/>
    <w:rsid w:val="00C57617"/>
    <w:rsid w:val="00C617CA"/>
    <w:rsid w:val="00C6315D"/>
    <w:rsid w:val="00C640DD"/>
    <w:rsid w:val="00C651EC"/>
    <w:rsid w:val="00C666BC"/>
    <w:rsid w:val="00C66F5E"/>
    <w:rsid w:val="00C70E4D"/>
    <w:rsid w:val="00C71B00"/>
    <w:rsid w:val="00C80ECE"/>
    <w:rsid w:val="00C87827"/>
    <w:rsid w:val="00C92D63"/>
    <w:rsid w:val="00C94D5D"/>
    <w:rsid w:val="00C95E79"/>
    <w:rsid w:val="00C96AAF"/>
    <w:rsid w:val="00C9766A"/>
    <w:rsid w:val="00C97D60"/>
    <w:rsid w:val="00CA03C7"/>
    <w:rsid w:val="00CA0F14"/>
    <w:rsid w:val="00CA2582"/>
    <w:rsid w:val="00CA405E"/>
    <w:rsid w:val="00CA4C86"/>
    <w:rsid w:val="00CA562C"/>
    <w:rsid w:val="00CA5941"/>
    <w:rsid w:val="00CB0547"/>
    <w:rsid w:val="00CB33E0"/>
    <w:rsid w:val="00CB719D"/>
    <w:rsid w:val="00CB719E"/>
    <w:rsid w:val="00CB7236"/>
    <w:rsid w:val="00CC1D21"/>
    <w:rsid w:val="00CC31C2"/>
    <w:rsid w:val="00CC32DF"/>
    <w:rsid w:val="00CC3770"/>
    <w:rsid w:val="00CC5841"/>
    <w:rsid w:val="00CC6AA0"/>
    <w:rsid w:val="00CD0DD4"/>
    <w:rsid w:val="00CD240D"/>
    <w:rsid w:val="00CD2587"/>
    <w:rsid w:val="00CD3AF9"/>
    <w:rsid w:val="00CD5BD8"/>
    <w:rsid w:val="00CD620C"/>
    <w:rsid w:val="00CE0B69"/>
    <w:rsid w:val="00CE1ACC"/>
    <w:rsid w:val="00CE299F"/>
    <w:rsid w:val="00CE3DB1"/>
    <w:rsid w:val="00CE4B8A"/>
    <w:rsid w:val="00CE5D47"/>
    <w:rsid w:val="00CF07BA"/>
    <w:rsid w:val="00CF14DA"/>
    <w:rsid w:val="00CF3A08"/>
    <w:rsid w:val="00D0199A"/>
    <w:rsid w:val="00D01D30"/>
    <w:rsid w:val="00D02D42"/>
    <w:rsid w:val="00D0795B"/>
    <w:rsid w:val="00D10796"/>
    <w:rsid w:val="00D11192"/>
    <w:rsid w:val="00D17B8B"/>
    <w:rsid w:val="00D21171"/>
    <w:rsid w:val="00D211F7"/>
    <w:rsid w:val="00D21E17"/>
    <w:rsid w:val="00D22292"/>
    <w:rsid w:val="00D25910"/>
    <w:rsid w:val="00D31F4C"/>
    <w:rsid w:val="00D33FA0"/>
    <w:rsid w:val="00D346AB"/>
    <w:rsid w:val="00D35396"/>
    <w:rsid w:val="00D35DE6"/>
    <w:rsid w:val="00D361FF"/>
    <w:rsid w:val="00D379C4"/>
    <w:rsid w:val="00D37B1C"/>
    <w:rsid w:val="00D40CA9"/>
    <w:rsid w:val="00D410A0"/>
    <w:rsid w:val="00D4517A"/>
    <w:rsid w:val="00D4599D"/>
    <w:rsid w:val="00D50109"/>
    <w:rsid w:val="00D507C8"/>
    <w:rsid w:val="00D50FF7"/>
    <w:rsid w:val="00D51C35"/>
    <w:rsid w:val="00D521B4"/>
    <w:rsid w:val="00D52B87"/>
    <w:rsid w:val="00D53BD2"/>
    <w:rsid w:val="00D614EC"/>
    <w:rsid w:val="00D6232C"/>
    <w:rsid w:val="00D62626"/>
    <w:rsid w:val="00D66349"/>
    <w:rsid w:val="00D66E91"/>
    <w:rsid w:val="00D727A5"/>
    <w:rsid w:val="00D72C2A"/>
    <w:rsid w:val="00D73EA4"/>
    <w:rsid w:val="00D758C0"/>
    <w:rsid w:val="00D8021B"/>
    <w:rsid w:val="00D8100F"/>
    <w:rsid w:val="00D82249"/>
    <w:rsid w:val="00D8275E"/>
    <w:rsid w:val="00D836DC"/>
    <w:rsid w:val="00D85891"/>
    <w:rsid w:val="00D9406C"/>
    <w:rsid w:val="00D95A03"/>
    <w:rsid w:val="00D95E17"/>
    <w:rsid w:val="00DA06B4"/>
    <w:rsid w:val="00DA1C44"/>
    <w:rsid w:val="00DA333E"/>
    <w:rsid w:val="00DA4A13"/>
    <w:rsid w:val="00DA755D"/>
    <w:rsid w:val="00DA760E"/>
    <w:rsid w:val="00DB12E6"/>
    <w:rsid w:val="00DB323E"/>
    <w:rsid w:val="00DB3A2C"/>
    <w:rsid w:val="00DB4D65"/>
    <w:rsid w:val="00DB4ECD"/>
    <w:rsid w:val="00DB5A33"/>
    <w:rsid w:val="00DC1AB5"/>
    <w:rsid w:val="00DC1ED3"/>
    <w:rsid w:val="00DC2DAD"/>
    <w:rsid w:val="00DC42B3"/>
    <w:rsid w:val="00DC5628"/>
    <w:rsid w:val="00DC7F92"/>
    <w:rsid w:val="00DD0E31"/>
    <w:rsid w:val="00DD0F38"/>
    <w:rsid w:val="00DD1DB5"/>
    <w:rsid w:val="00DD2E94"/>
    <w:rsid w:val="00DD4836"/>
    <w:rsid w:val="00DD48F3"/>
    <w:rsid w:val="00DD6737"/>
    <w:rsid w:val="00DE02E3"/>
    <w:rsid w:val="00DE150A"/>
    <w:rsid w:val="00DE2035"/>
    <w:rsid w:val="00DE31D2"/>
    <w:rsid w:val="00DE4493"/>
    <w:rsid w:val="00DE58E3"/>
    <w:rsid w:val="00DE740A"/>
    <w:rsid w:val="00DE7C44"/>
    <w:rsid w:val="00DF5935"/>
    <w:rsid w:val="00DF720A"/>
    <w:rsid w:val="00DF7E5A"/>
    <w:rsid w:val="00E04308"/>
    <w:rsid w:val="00E04496"/>
    <w:rsid w:val="00E1136D"/>
    <w:rsid w:val="00E125BA"/>
    <w:rsid w:val="00E131E2"/>
    <w:rsid w:val="00E17CB0"/>
    <w:rsid w:val="00E2074E"/>
    <w:rsid w:val="00E21116"/>
    <w:rsid w:val="00E267E3"/>
    <w:rsid w:val="00E26CF0"/>
    <w:rsid w:val="00E31FA3"/>
    <w:rsid w:val="00E42EE6"/>
    <w:rsid w:val="00E4432F"/>
    <w:rsid w:val="00E44A62"/>
    <w:rsid w:val="00E45B52"/>
    <w:rsid w:val="00E461C5"/>
    <w:rsid w:val="00E46987"/>
    <w:rsid w:val="00E47D96"/>
    <w:rsid w:val="00E514E3"/>
    <w:rsid w:val="00E5153C"/>
    <w:rsid w:val="00E52392"/>
    <w:rsid w:val="00E526AE"/>
    <w:rsid w:val="00E5424E"/>
    <w:rsid w:val="00E54C98"/>
    <w:rsid w:val="00E55396"/>
    <w:rsid w:val="00E569C4"/>
    <w:rsid w:val="00E60E2E"/>
    <w:rsid w:val="00E61578"/>
    <w:rsid w:val="00E638D0"/>
    <w:rsid w:val="00E6436D"/>
    <w:rsid w:val="00E64394"/>
    <w:rsid w:val="00E654E7"/>
    <w:rsid w:val="00E657A0"/>
    <w:rsid w:val="00E65BAA"/>
    <w:rsid w:val="00E71B4C"/>
    <w:rsid w:val="00E71E78"/>
    <w:rsid w:val="00E75A0D"/>
    <w:rsid w:val="00E76F5F"/>
    <w:rsid w:val="00E7747B"/>
    <w:rsid w:val="00E77820"/>
    <w:rsid w:val="00E8062D"/>
    <w:rsid w:val="00E81C87"/>
    <w:rsid w:val="00E90D63"/>
    <w:rsid w:val="00E91079"/>
    <w:rsid w:val="00E9121C"/>
    <w:rsid w:val="00E91296"/>
    <w:rsid w:val="00E91927"/>
    <w:rsid w:val="00E93170"/>
    <w:rsid w:val="00E942A1"/>
    <w:rsid w:val="00E96104"/>
    <w:rsid w:val="00E97667"/>
    <w:rsid w:val="00E97A3C"/>
    <w:rsid w:val="00EA1683"/>
    <w:rsid w:val="00EA185C"/>
    <w:rsid w:val="00EA22AA"/>
    <w:rsid w:val="00EA5472"/>
    <w:rsid w:val="00EB0A38"/>
    <w:rsid w:val="00EB208D"/>
    <w:rsid w:val="00EB213E"/>
    <w:rsid w:val="00EB24F9"/>
    <w:rsid w:val="00EB5D4F"/>
    <w:rsid w:val="00EB6690"/>
    <w:rsid w:val="00EC0083"/>
    <w:rsid w:val="00EC0E00"/>
    <w:rsid w:val="00EC1138"/>
    <w:rsid w:val="00EC3146"/>
    <w:rsid w:val="00EC3AD6"/>
    <w:rsid w:val="00EC3BA3"/>
    <w:rsid w:val="00EC40AB"/>
    <w:rsid w:val="00EC50DF"/>
    <w:rsid w:val="00EC718E"/>
    <w:rsid w:val="00EC768E"/>
    <w:rsid w:val="00EC7FEC"/>
    <w:rsid w:val="00ED2301"/>
    <w:rsid w:val="00ED30D4"/>
    <w:rsid w:val="00ED410E"/>
    <w:rsid w:val="00ED44A4"/>
    <w:rsid w:val="00EE009A"/>
    <w:rsid w:val="00EE0B4A"/>
    <w:rsid w:val="00EE4418"/>
    <w:rsid w:val="00EE58F0"/>
    <w:rsid w:val="00EE5CA4"/>
    <w:rsid w:val="00EE65AD"/>
    <w:rsid w:val="00EF16C3"/>
    <w:rsid w:val="00EF1812"/>
    <w:rsid w:val="00EF23DD"/>
    <w:rsid w:val="00EF3CB3"/>
    <w:rsid w:val="00EF6AF9"/>
    <w:rsid w:val="00EF6E82"/>
    <w:rsid w:val="00F0273F"/>
    <w:rsid w:val="00F02E21"/>
    <w:rsid w:val="00F02E52"/>
    <w:rsid w:val="00F03FCD"/>
    <w:rsid w:val="00F04606"/>
    <w:rsid w:val="00F04ED6"/>
    <w:rsid w:val="00F06A59"/>
    <w:rsid w:val="00F07E29"/>
    <w:rsid w:val="00F14861"/>
    <w:rsid w:val="00F14D29"/>
    <w:rsid w:val="00F16148"/>
    <w:rsid w:val="00F17B82"/>
    <w:rsid w:val="00F225E9"/>
    <w:rsid w:val="00F2421B"/>
    <w:rsid w:val="00F2464D"/>
    <w:rsid w:val="00F24A37"/>
    <w:rsid w:val="00F2528F"/>
    <w:rsid w:val="00F30486"/>
    <w:rsid w:val="00F3156F"/>
    <w:rsid w:val="00F35BBA"/>
    <w:rsid w:val="00F370EC"/>
    <w:rsid w:val="00F4108E"/>
    <w:rsid w:val="00F46114"/>
    <w:rsid w:val="00F52079"/>
    <w:rsid w:val="00F53544"/>
    <w:rsid w:val="00F55617"/>
    <w:rsid w:val="00F5583F"/>
    <w:rsid w:val="00F578F1"/>
    <w:rsid w:val="00F64040"/>
    <w:rsid w:val="00F64142"/>
    <w:rsid w:val="00F64725"/>
    <w:rsid w:val="00F66D73"/>
    <w:rsid w:val="00F67164"/>
    <w:rsid w:val="00F6728C"/>
    <w:rsid w:val="00F67E28"/>
    <w:rsid w:val="00F72CC1"/>
    <w:rsid w:val="00F734E4"/>
    <w:rsid w:val="00F738E1"/>
    <w:rsid w:val="00F754A2"/>
    <w:rsid w:val="00F80C73"/>
    <w:rsid w:val="00F8487A"/>
    <w:rsid w:val="00F87277"/>
    <w:rsid w:val="00F90C08"/>
    <w:rsid w:val="00F91C78"/>
    <w:rsid w:val="00F932D6"/>
    <w:rsid w:val="00F97FD8"/>
    <w:rsid w:val="00FA02B6"/>
    <w:rsid w:val="00FA0D3C"/>
    <w:rsid w:val="00FA1800"/>
    <w:rsid w:val="00FA1E17"/>
    <w:rsid w:val="00FA1F37"/>
    <w:rsid w:val="00FA2419"/>
    <w:rsid w:val="00FA2BA9"/>
    <w:rsid w:val="00FA5859"/>
    <w:rsid w:val="00FB02B5"/>
    <w:rsid w:val="00FB2145"/>
    <w:rsid w:val="00FB2BB2"/>
    <w:rsid w:val="00FB2F58"/>
    <w:rsid w:val="00FB5CCC"/>
    <w:rsid w:val="00FB5FEA"/>
    <w:rsid w:val="00FB7985"/>
    <w:rsid w:val="00FB7AED"/>
    <w:rsid w:val="00FC3EC5"/>
    <w:rsid w:val="00FC41E9"/>
    <w:rsid w:val="00FC4971"/>
    <w:rsid w:val="00FC54C7"/>
    <w:rsid w:val="00FC7AD8"/>
    <w:rsid w:val="00FD196B"/>
    <w:rsid w:val="00FD4114"/>
    <w:rsid w:val="00FD44E2"/>
    <w:rsid w:val="00FE2589"/>
    <w:rsid w:val="00FE5B5F"/>
    <w:rsid w:val="00FE65BB"/>
    <w:rsid w:val="00FE6CE4"/>
    <w:rsid w:val="00FF06ED"/>
    <w:rsid w:val="00FF48BB"/>
    <w:rsid w:val="00FF57A5"/>
    <w:rsid w:val="00FF5A9A"/>
    <w:rsid w:val="00FF610E"/>
    <w:rsid w:val="02E419A0"/>
    <w:rsid w:val="0396353F"/>
    <w:rsid w:val="03B54DC3"/>
    <w:rsid w:val="04053F79"/>
    <w:rsid w:val="041946D2"/>
    <w:rsid w:val="041C1D95"/>
    <w:rsid w:val="044B76C1"/>
    <w:rsid w:val="04874CFF"/>
    <w:rsid w:val="051D48A5"/>
    <w:rsid w:val="0526655E"/>
    <w:rsid w:val="06400504"/>
    <w:rsid w:val="068048A6"/>
    <w:rsid w:val="0688684E"/>
    <w:rsid w:val="069E7C4E"/>
    <w:rsid w:val="06BA5905"/>
    <w:rsid w:val="06C325E5"/>
    <w:rsid w:val="078628BC"/>
    <w:rsid w:val="07C2079E"/>
    <w:rsid w:val="07C53206"/>
    <w:rsid w:val="07F854E6"/>
    <w:rsid w:val="09491AB7"/>
    <w:rsid w:val="0A060E73"/>
    <w:rsid w:val="0A0F7917"/>
    <w:rsid w:val="0B083217"/>
    <w:rsid w:val="0C142CB0"/>
    <w:rsid w:val="0C812327"/>
    <w:rsid w:val="0C8F0E35"/>
    <w:rsid w:val="0CB8144D"/>
    <w:rsid w:val="0CBC77C1"/>
    <w:rsid w:val="0D482A1A"/>
    <w:rsid w:val="0DBC7FE1"/>
    <w:rsid w:val="0E0F3F29"/>
    <w:rsid w:val="0EA2473E"/>
    <w:rsid w:val="0EC66D4D"/>
    <w:rsid w:val="0F664184"/>
    <w:rsid w:val="0FBD08C9"/>
    <w:rsid w:val="0FDF2186"/>
    <w:rsid w:val="10374526"/>
    <w:rsid w:val="1220253A"/>
    <w:rsid w:val="128236C2"/>
    <w:rsid w:val="14103B6F"/>
    <w:rsid w:val="14502E47"/>
    <w:rsid w:val="1456398E"/>
    <w:rsid w:val="15A351F7"/>
    <w:rsid w:val="185C6F05"/>
    <w:rsid w:val="18DA4698"/>
    <w:rsid w:val="1A164B9C"/>
    <w:rsid w:val="1A6E38EB"/>
    <w:rsid w:val="1A7B7722"/>
    <w:rsid w:val="1B64400A"/>
    <w:rsid w:val="1B7A78DA"/>
    <w:rsid w:val="1BAF6A72"/>
    <w:rsid w:val="1D62558B"/>
    <w:rsid w:val="1D977B3A"/>
    <w:rsid w:val="1DAF5ABD"/>
    <w:rsid w:val="1DCB05AF"/>
    <w:rsid w:val="1E5044C2"/>
    <w:rsid w:val="1E6E7B4A"/>
    <w:rsid w:val="1E874466"/>
    <w:rsid w:val="1EDD191F"/>
    <w:rsid w:val="1F001B2D"/>
    <w:rsid w:val="1FF679DF"/>
    <w:rsid w:val="205671DC"/>
    <w:rsid w:val="20577122"/>
    <w:rsid w:val="20D16E08"/>
    <w:rsid w:val="20E01122"/>
    <w:rsid w:val="2111088A"/>
    <w:rsid w:val="219B5173"/>
    <w:rsid w:val="2232008F"/>
    <w:rsid w:val="22DA186D"/>
    <w:rsid w:val="23AA4D67"/>
    <w:rsid w:val="23E178A4"/>
    <w:rsid w:val="24532DE8"/>
    <w:rsid w:val="246B7375"/>
    <w:rsid w:val="24C60AC8"/>
    <w:rsid w:val="24E976F9"/>
    <w:rsid w:val="25067DE0"/>
    <w:rsid w:val="25F54599"/>
    <w:rsid w:val="2624133A"/>
    <w:rsid w:val="26D10276"/>
    <w:rsid w:val="276F3E91"/>
    <w:rsid w:val="286229D3"/>
    <w:rsid w:val="2866088A"/>
    <w:rsid w:val="28AB29D7"/>
    <w:rsid w:val="294D57D7"/>
    <w:rsid w:val="29E213D7"/>
    <w:rsid w:val="29FC0E14"/>
    <w:rsid w:val="2A163EAD"/>
    <w:rsid w:val="2C12075E"/>
    <w:rsid w:val="2CCE1565"/>
    <w:rsid w:val="2D81448E"/>
    <w:rsid w:val="2DBF64AA"/>
    <w:rsid w:val="2E375F7F"/>
    <w:rsid w:val="2E686964"/>
    <w:rsid w:val="2E991945"/>
    <w:rsid w:val="2ECF604E"/>
    <w:rsid w:val="2ED354F1"/>
    <w:rsid w:val="2EE71FBA"/>
    <w:rsid w:val="2F121CAD"/>
    <w:rsid w:val="2F131EA6"/>
    <w:rsid w:val="2F240E03"/>
    <w:rsid w:val="2F8A5FF1"/>
    <w:rsid w:val="2FA44051"/>
    <w:rsid w:val="2FFC6F6A"/>
    <w:rsid w:val="30432618"/>
    <w:rsid w:val="318E04FB"/>
    <w:rsid w:val="31CA763F"/>
    <w:rsid w:val="31F62F0B"/>
    <w:rsid w:val="323C42EF"/>
    <w:rsid w:val="3258792A"/>
    <w:rsid w:val="327B13A7"/>
    <w:rsid w:val="32826DF6"/>
    <w:rsid w:val="32D57C67"/>
    <w:rsid w:val="339370FF"/>
    <w:rsid w:val="33A34A47"/>
    <w:rsid w:val="343B452A"/>
    <w:rsid w:val="347D1D6A"/>
    <w:rsid w:val="34EF40C5"/>
    <w:rsid w:val="35210717"/>
    <w:rsid w:val="35B604FB"/>
    <w:rsid w:val="363C6F54"/>
    <w:rsid w:val="3665302B"/>
    <w:rsid w:val="37112332"/>
    <w:rsid w:val="37884E95"/>
    <w:rsid w:val="37892430"/>
    <w:rsid w:val="3799205A"/>
    <w:rsid w:val="380A44F5"/>
    <w:rsid w:val="382B3497"/>
    <w:rsid w:val="38B07170"/>
    <w:rsid w:val="38DD2B99"/>
    <w:rsid w:val="38F078CE"/>
    <w:rsid w:val="38F96220"/>
    <w:rsid w:val="394C5B2E"/>
    <w:rsid w:val="3A964D3C"/>
    <w:rsid w:val="3A9B3816"/>
    <w:rsid w:val="3B1511B9"/>
    <w:rsid w:val="3B307056"/>
    <w:rsid w:val="3B422114"/>
    <w:rsid w:val="3BAB1E8C"/>
    <w:rsid w:val="3BCC4C27"/>
    <w:rsid w:val="3BDF1B21"/>
    <w:rsid w:val="3CA30222"/>
    <w:rsid w:val="3D0E5C6B"/>
    <w:rsid w:val="3D143A1E"/>
    <w:rsid w:val="3D525DEE"/>
    <w:rsid w:val="3E2A5E45"/>
    <w:rsid w:val="3E8E059F"/>
    <w:rsid w:val="3E9D4D38"/>
    <w:rsid w:val="3EAE12A9"/>
    <w:rsid w:val="3FA06EA4"/>
    <w:rsid w:val="3FB13C63"/>
    <w:rsid w:val="4009350B"/>
    <w:rsid w:val="4136793B"/>
    <w:rsid w:val="416C4B95"/>
    <w:rsid w:val="419970FB"/>
    <w:rsid w:val="4273550F"/>
    <w:rsid w:val="42DF0666"/>
    <w:rsid w:val="42EA7583"/>
    <w:rsid w:val="435F1D03"/>
    <w:rsid w:val="44492537"/>
    <w:rsid w:val="446A394D"/>
    <w:rsid w:val="46142B72"/>
    <w:rsid w:val="46C537FA"/>
    <w:rsid w:val="473712F2"/>
    <w:rsid w:val="47787447"/>
    <w:rsid w:val="47C21064"/>
    <w:rsid w:val="48724526"/>
    <w:rsid w:val="48FB4BAD"/>
    <w:rsid w:val="4B49158A"/>
    <w:rsid w:val="4BB009E1"/>
    <w:rsid w:val="4BB63882"/>
    <w:rsid w:val="4BC64171"/>
    <w:rsid w:val="4C202346"/>
    <w:rsid w:val="4C960130"/>
    <w:rsid w:val="4CB50FFB"/>
    <w:rsid w:val="4CE82F77"/>
    <w:rsid w:val="4D5F3E10"/>
    <w:rsid w:val="4E0278D8"/>
    <w:rsid w:val="4E0C54E8"/>
    <w:rsid w:val="4E1E7C22"/>
    <w:rsid w:val="4EC450DD"/>
    <w:rsid w:val="4ED078B4"/>
    <w:rsid w:val="4F65051E"/>
    <w:rsid w:val="4FDA2015"/>
    <w:rsid w:val="5069695A"/>
    <w:rsid w:val="5104591A"/>
    <w:rsid w:val="512F5115"/>
    <w:rsid w:val="515201C1"/>
    <w:rsid w:val="517D7873"/>
    <w:rsid w:val="51946BC0"/>
    <w:rsid w:val="51A51310"/>
    <w:rsid w:val="52044112"/>
    <w:rsid w:val="531558B2"/>
    <w:rsid w:val="53524F57"/>
    <w:rsid w:val="53C13AF8"/>
    <w:rsid w:val="544F1BDC"/>
    <w:rsid w:val="55227619"/>
    <w:rsid w:val="557930DD"/>
    <w:rsid w:val="55C74985"/>
    <w:rsid w:val="55DB6400"/>
    <w:rsid w:val="5610113A"/>
    <w:rsid w:val="56775FA2"/>
    <w:rsid w:val="57FB0966"/>
    <w:rsid w:val="59512270"/>
    <w:rsid w:val="5A624303"/>
    <w:rsid w:val="5A664162"/>
    <w:rsid w:val="5A7A2908"/>
    <w:rsid w:val="5A9500F0"/>
    <w:rsid w:val="5AC61F07"/>
    <w:rsid w:val="5B654713"/>
    <w:rsid w:val="5B6D4E6E"/>
    <w:rsid w:val="5C727C11"/>
    <w:rsid w:val="5D2E7890"/>
    <w:rsid w:val="5D4F1576"/>
    <w:rsid w:val="5D534489"/>
    <w:rsid w:val="5DDD70F3"/>
    <w:rsid w:val="5E8608D7"/>
    <w:rsid w:val="5EE638CF"/>
    <w:rsid w:val="5EF14073"/>
    <w:rsid w:val="6003173C"/>
    <w:rsid w:val="600464E8"/>
    <w:rsid w:val="603053D3"/>
    <w:rsid w:val="604F608F"/>
    <w:rsid w:val="63913DAA"/>
    <w:rsid w:val="63AB47F7"/>
    <w:rsid w:val="63B7558E"/>
    <w:rsid w:val="63B97A8C"/>
    <w:rsid w:val="64057A3B"/>
    <w:rsid w:val="65CB7F2D"/>
    <w:rsid w:val="65E10D89"/>
    <w:rsid w:val="66991C64"/>
    <w:rsid w:val="67092C37"/>
    <w:rsid w:val="677A2894"/>
    <w:rsid w:val="67884949"/>
    <w:rsid w:val="67D8732A"/>
    <w:rsid w:val="68A14EBF"/>
    <w:rsid w:val="68C30582"/>
    <w:rsid w:val="69C9190D"/>
    <w:rsid w:val="69F93896"/>
    <w:rsid w:val="6A8A1644"/>
    <w:rsid w:val="6AFD0AA2"/>
    <w:rsid w:val="6C0D0D5B"/>
    <w:rsid w:val="6C735DEC"/>
    <w:rsid w:val="6D635CF3"/>
    <w:rsid w:val="6EBB5A11"/>
    <w:rsid w:val="6F99455D"/>
    <w:rsid w:val="6FAF3A83"/>
    <w:rsid w:val="6FF77A5C"/>
    <w:rsid w:val="70420911"/>
    <w:rsid w:val="706A5FAE"/>
    <w:rsid w:val="708D2796"/>
    <w:rsid w:val="712E7E47"/>
    <w:rsid w:val="71EC356D"/>
    <w:rsid w:val="725652FE"/>
    <w:rsid w:val="72652BF9"/>
    <w:rsid w:val="72923FA2"/>
    <w:rsid w:val="72DE3BB3"/>
    <w:rsid w:val="72EF30FE"/>
    <w:rsid w:val="72F8546D"/>
    <w:rsid w:val="73657288"/>
    <w:rsid w:val="74112AF9"/>
    <w:rsid w:val="749435AE"/>
    <w:rsid w:val="75532225"/>
    <w:rsid w:val="759017FD"/>
    <w:rsid w:val="7714467B"/>
    <w:rsid w:val="771A6862"/>
    <w:rsid w:val="777A48FC"/>
    <w:rsid w:val="77951212"/>
    <w:rsid w:val="780678BD"/>
    <w:rsid w:val="784A160E"/>
    <w:rsid w:val="787269B6"/>
    <w:rsid w:val="787A66C4"/>
    <w:rsid w:val="78947117"/>
    <w:rsid w:val="79296C9F"/>
    <w:rsid w:val="795479B6"/>
    <w:rsid w:val="796953CB"/>
    <w:rsid w:val="796D2CA0"/>
    <w:rsid w:val="7BC529D7"/>
    <w:rsid w:val="7BF465F5"/>
    <w:rsid w:val="7C403B11"/>
    <w:rsid w:val="7CAE5ADB"/>
    <w:rsid w:val="7CE00D52"/>
    <w:rsid w:val="7DE706CF"/>
    <w:rsid w:val="7F1F7230"/>
    <w:rsid w:val="7F292638"/>
    <w:rsid w:val="7F697561"/>
    <w:rsid w:val="7FA40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rFonts w:eastAsia="仿宋"/>
      <w:b/>
      <w:bCs/>
      <w:kern w:val="44"/>
      <w:sz w:val="44"/>
      <w:szCs w:val="44"/>
    </w:rPr>
  </w:style>
  <w:style w:type="paragraph" w:styleId="3">
    <w:name w:val="heading 2"/>
    <w:basedOn w:val="1"/>
    <w:next w:val="1"/>
    <w:link w:val="28"/>
    <w:qFormat/>
    <w:uiPriority w:val="9"/>
    <w:pPr>
      <w:keepNext/>
      <w:keepLines/>
      <w:topLinePunct/>
      <w:adjustRightInd w:val="0"/>
      <w:snapToGrid w:val="0"/>
      <w:spacing w:before="249" w:beforeLines="80" w:after="249" w:afterLines="80"/>
      <w:outlineLvl w:val="1"/>
    </w:pPr>
    <w:rPr>
      <w:rFonts w:ascii="Arial" w:hAnsi="Arial" w:eastAsia="黑体"/>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qFormat/>
    <w:uiPriority w:val="0"/>
    <w:pPr>
      <w:jc w:val="left"/>
    </w:pPr>
  </w:style>
  <w:style w:type="paragraph" w:styleId="5">
    <w:name w:val="toc 3"/>
    <w:basedOn w:val="1"/>
    <w:next w:val="1"/>
    <w:qFormat/>
    <w:uiPriority w:val="39"/>
    <w:pPr>
      <w:ind w:left="840" w:leftChars="400"/>
    </w:pPr>
  </w:style>
  <w:style w:type="paragraph" w:styleId="6">
    <w:name w:val="Plain Text"/>
    <w:basedOn w:val="1"/>
    <w:qFormat/>
    <w:uiPriority w:val="0"/>
    <w:rPr>
      <w:rFonts w:ascii="宋体" w:hAnsi="Courier New"/>
      <w:kern w:val="0"/>
      <w:sz w:val="20"/>
    </w:rPr>
  </w:style>
  <w:style w:type="paragraph" w:styleId="7">
    <w:name w:val="Balloon Text"/>
    <w:basedOn w:val="1"/>
    <w:link w:val="25"/>
    <w:qFormat/>
    <w:uiPriority w:val="0"/>
    <w:pPr>
      <w:spacing w:after="0" w:line="240" w:lineRule="auto"/>
    </w:pPr>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rPr>
      <w:sz w:val="24"/>
    </w:rPr>
  </w:style>
  <w:style w:type="paragraph" w:styleId="13">
    <w:name w:val="annotation subject"/>
    <w:basedOn w:val="4"/>
    <w:next w:val="4"/>
    <w:link w:val="27"/>
    <w:qFormat/>
    <w:uiPriority w:val="0"/>
    <w:rPr>
      <w:b/>
      <w:bCs/>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qFormat/>
    <w:uiPriority w:val="0"/>
    <w:rPr>
      <w:sz w:val="21"/>
      <w:szCs w:val="21"/>
    </w:rPr>
  </w:style>
  <w:style w:type="paragraph" w:customStyle="1" w:styleId="18">
    <w:name w:val="本文正文2"/>
    <w:basedOn w:val="1"/>
    <w:qFormat/>
    <w:uiPriority w:val="0"/>
    <w:pPr>
      <w:tabs>
        <w:tab w:val="left" w:pos="630"/>
      </w:tabs>
      <w:topLinePunct/>
      <w:adjustRightInd w:val="0"/>
      <w:spacing w:line="360" w:lineRule="exact"/>
      <w:ind w:firstLine="420" w:firstLineChars="200"/>
    </w:pPr>
    <w:rPr>
      <w:rFonts w:ascii="Times New Roman" w:hAnsi="Times New Roman" w:eastAsia="宋体" w:cs="Times New Roman"/>
      <w:snapToGrid w:val="0"/>
      <w:color w:val="000000"/>
      <w:szCs w:val="20"/>
    </w:rPr>
  </w:style>
  <w:style w:type="paragraph" w:customStyle="1" w:styleId="19">
    <w:name w:val="表格题头"/>
    <w:basedOn w:val="1"/>
    <w:qFormat/>
    <w:uiPriority w:val="0"/>
    <w:pPr>
      <w:topLinePunct/>
      <w:spacing w:before="60" w:after="60" w:line="360" w:lineRule="auto"/>
    </w:pPr>
    <w:rPr>
      <w:rFonts w:ascii="Calibri" w:hAnsi="Calibri" w:eastAsia="仿宋"/>
      <w:b/>
      <w:sz w:val="28"/>
      <w:szCs w:val="20"/>
    </w:rPr>
  </w:style>
  <w:style w:type="paragraph" w:customStyle="1" w:styleId="20">
    <w:name w:val="表格正文"/>
    <w:basedOn w:val="1"/>
    <w:qFormat/>
    <w:uiPriority w:val="0"/>
    <w:pPr>
      <w:topLinePunct/>
      <w:adjustRightInd w:val="0"/>
      <w:snapToGrid w:val="0"/>
      <w:jc w:val="center"/>
    </w:pPr>
    <w:rPr>
      <w:rFonts w:ascii="黑体" w:hAnsi="Times New Roman" w:eastAsia="黑体" w:cs="Times New Roman"/>
      <w:color w:val="000000"/>
      <w:szCs w:val="20"/>
    </w:rPr>
  </w:style>
  <w:style w:type="paragraph" w:customStyle="1" w:styleId="21">
    <w:name w:val="p0"/>
    <w:basedOn w:val="1"/>
    <w:qFormat/>
    <w:uiPriority w:val="0"/>
    <w:pPr>
      <w:widowControl/>
    </w:pPr>
    <w:rPr>
      <w:rFonts w:ascii="Times New Roman" w:hAnsi="Times New Roman"/>
      <w:kern w:val="0"/>
      <w:sz w:val="20"/>
      <w:szCs w:val="21"/>
    </w:rPr>
  </w:style>
  <w:style w:type="paragraph" w:customStyle="1" w:styleId="22">
    <w:name w:val="WPSOffice手动目录 1"/>
    <w:qFormat/>
    <w:uiPriority w:val="0"/>
    <w:rPr>
      <w:rFonts w:asciiTheme="minorHAnsi" w:hAnsiTheme="minorHAnsi" w:eastAsiaTheme="minorEastAsia" w:cstheme="minorBidi"/>
      <w:lang w:val="en-US" w:eastAsia="zh-CN" w:bidi="ar-SA"/>
    </w:rPr>
  </w:style>
  <w:style w:type="paragraph" w:customStyle="1" w:styleId="23">
    <w:name w:val="纯文本1"/>
    <w:basedOn w:val="1"/>
    <w:qFormat/>
    <w:uiPriority w:val="0"/>
    <w:pPr>
      <w:suppressAutoHyphens/>
    </w:pPr>
    <w:rPr>
      <w:rFonts w:ascii="宋体" w:hAnsi="宋体" w:eastAsia="宋体" w:cs="Times New Roman"/>
      <w:kern w:val="1"/>
      <w:szCs w:val="20"/>
      <w:lang w:eastAsia="ar-SA"/>
    </w:rPr>
  </w:style>
  <w:style w:type="paragraph" w:styleId="24">
    <w:name w:val="List Paragraph"/>
    <w:basedOn w:val="1"/>
    <w:qFormat/>
    <w:uiPriority w:val="34"/>
    <w:pPr>
      <w:ind w:firstLine="420" w:firstLineChars="200"/>
    </w:pPr>
  </w:style>
  <w:style w:type="character" w:customStyle="1" w:styleId="25">
    <w:name w:val="批注框文本 字符"/>
    <w:basedOn w:val="15"/>
    <w:link w:val="7"/>
    <w:qFormat/>
    <w:uiPriority w:val="0"/>
    <w:rPr>
      <w:rFonts w:asciiTheme="minorHAnsi" w:hAnsiTheme="minorHAnsi" w:eastAsiaTheme="minorEastAsia" w:cstheme="minorBidi"/>
      <w:kern w:val="2"/>
      <w:sz w:val="18"/>
      <w:szCs w:val="18"/>
    </w:rPr>
  </w:style>
  <w:style w:type="character" w:customStyle="1" w:styleId="26">
    <w:name w:val="批注文字 字符"/>
    <w:basedOn w:val="15"/>
    <w:link w:val="4"/>
    <w:qFormat/>
    <w:uiPriority w:val="0"/>
    <w:rPr>
      <w:rFonts w:asciiTheme="minorHAnsi" w:hAnsiTheme="minorHAnsi" w:eastAsiaTheme="minorEastAsia" w:cstheme="minorBidi"/>
      <w:kern w:val="2"/>
      <w:sz w:val="21"/>
      <w:szCs w:val="22"/>
    </w:rPr>
  </w:style>
  <w:style w:type="character" w:customStyle="1" w:styleId="27">
    <w:name w:val="批注主题 字符"/>
    <w:basedOn w:val="26"/>
    <w:link w:val="13"/>
    <w:qFormat/>
    <w:uiPriority w:val="0"/>
    <w:rPr>
      <w:rFonts w:asciiTheme="minorHAnsi" w:hAnsiTheme="minorHAnsi" w:eastAsiaTheme="minorEastAsia" w:cstheme="minorBidi"/>
      <w:b/>
      <w:bCs/>
      <w:kern w:val="2"/>
      <w:sz w:val="21"/>
      <w:szCs w:val="22"/>
    </w:rPr>
  </w:style>
  <w:style w:type="character" w:customStyle="1" w:styleId="28">
    <w:name w:val="标题 2 字符"/>
    <w:basedOn w:val="15"/>
    <w:link w:val="3"/>
    <w:qFormat/>
    <w:uiPriority w:val="9"/>
    <w:rPr>
      <w:rFonts w:ascii="Arial" w:hAnsi="Arial" w:eastAsia="黑体" w:cstheme="minorBidi"/>
      <w:kern w:val="2"/>
      <w:sz w:val="21"/>
      <w:szCs w:val="22"/>
    </w:rPr>
  </w:style>
  <w:style w:type="character" w:customStyle="1" w:styleId="29">
    <w:name w:val="标题 1 字符"/>
    <w:basedOn w:val="15"/>
    <w:link w:val="2"/>
    <w:qFormat/>
    <w:uiPriority w:val="9"/>
    <w:rPr>
      <w:rFonts w:eastAsia="仿宋" w:asciiTheme="minorHAnsi" w:hAnsiTheme="minorHAnsi" w:cstheme="minorBidi"/>
      <w:b/>
      <w:bCs/>
      <w:kern w:val="44"/>
      <w:sz w:val="44"/>
      <w:szCs w:val="44"/>
    </w:rPr>
  </w:style>
  <w:style w:type="paragraph" w:customStyle="1" w:styleId="30">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31">
    <w:name w:val="正文 New New New New New New New New New New New New New New New New New New New New New New New New New New New New New New New New New New New New New New New New New New New New New New"/>
    <w:qFormat/>
    <w:uiPriority w:val="0"/>
    <w:pPr>
      <w:widowControl w:val="0"/>
      <w:topLinePunct/>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Microsoft_Visio_2003-2010___1.vsd"/><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microsoft.com/office/2006/relationships/keyMapCustomizations" Target="customizations.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Microsoft_Visio_2003-2010___2.vsd"/><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59D533-7FBC-4865-9F6E-6E357059FAED}">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190</Pages>
  <Words>4199</Words>
  <Characters>23939</Characters>
  <Lines>199</Lines>
  <Paragraphs>56</Paragraphs>
  <TotalTime>3</TotalTime>
  <ScaleCrop>false</ScaleCrop>
  <LinksUpToDate>false</LinksUpToDate>
  <CharactersWithSpaces>28082</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丶酉卯卯</dc:creator>
  <cp:lastModifiedBy>冯杰</cp:lastModifiedBy>
  <cp:lastPrinted>2019-06-04T08:33:00Z</cp:lastPrinted>
  <dcterms:modified xsi:type="dcterms:W3CDTF">2022-08-23T13:09:27Z</dcterms:modified>
  <cp:revision>1473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