
<file path=[Content_Types].xml><?xml version="1.0" encoding="utf-8"?>
<Types xmlns="http://schemas.openxmlformats.org/package/2006/content-types">
  <Default Extension="xml" ContentType="application/xml"/>
  <Default Extension="emf" ContentType="image/x-emf"/>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240" w:lineRule="auto"/>
        <w:jc w:val="center"/>
        <w:rPr>
          <w:rFonts w:ascii="楷体" w:hAnsi="楷体"/>
          <w:sz w:val="32"/>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pPr>
              <w:pStyle w:val="87"/>
              <w:spacing w:line="400" w:lineRule="exact"/>
              <w:rPr>
                <w:rFonts w:ascii="楷体" w:hAnsi="楷体" w:eastAsia="楷体"/>
                <w:sz w:val="28"/>
              </w:rPr>
            </w:pPr>
            <w:r>
              <w:rPr>
                <w:rFonts w:hint="eastAsia" w:ascii="楷体" w:hAnsi="楷体" w:eastAsia="楷体"/>
                <w:sz w:val="28"/>
              </w:rPr>
              <w:t xml:space="preserve">                                                 </w:t>
            </w:r>
          </w:p>
          <w:p>
            <w:pPr>
              <w:pStyle w:val="87"/>
              <w:spacing w:line="400" w:lineRule="exact"/>
              <w:jc w:val="right"/>
              <w:rPr>
                <w:rFonts w:ascii="楷体" w:hAnsi="楷体" w:eastAsia="楷体"/>
                <w:sz w:val="28"/>
              </w:rPr>
            </w:pPr>
            <w:r>
              <w:rPr>
                <w:rFonts w:hint="eastAsia" w:ascii="楷体" w:hAnsi="楷体" w:eastAsia="楷体"/>
                <w:sz w:val="28"/>
              </w:rPr>
              <w:t>正/副本</w:t>
            </w:r>
          </w:p>
          <w:p>
            <w:pPr>
              <w:pStyle w:val="226"/>
              <w:tabs>
                <w:tab w:val="left" w:pos="4320"/>
              </w:tabs>
              <w:spacing w:line="400" w:lineRule="exact"/>
              <w:ind w:right="744"/>
              <w:jc w:val="left"/>
              <w:rPr>
                <w:rFonts w:ascii="楷体" w:hAnsi="楷体" w:eastAsia="楷体"/>
                <w:b/>
                <w:sz w:val="28"/>
              </w:rPr>
            </w:pPr>
          </w:p>
          <w:p>
            <w:pPr>
              <w:pStyle w:val="226"/>
              <w:tabs>
                <w:tab w:val="left" w:pos="4320"/>
              </w:tabs>
              <w:spacing w:line="400" w:lineRule="exact"/>
              <w:ind w:right="744"/>
              <w:jc w:val="left"/>
              <w:rPr>
                <w:rFonts w:ascii="楷体" w:hAnsi="楷体" w:eastAsia="楷体"/>
                <w:b/>
                <w:sz w:val="28"/>
              </w:rPr>
            </w:pPr>
            <w:r>
              <w:rPr>
                <w:rFonts w:hint="eastAsia" w:ascii="楷体" w:hAnsi="楷体" w:eastAsia="楷体"/>
                <w:b/>
                <w:sz w:val="28"/>
              </w:rPr>
              <w:t>采购编号:</w:t>
            </w:r>
            <w:r>
              <w:t xml:space="preserve"> </w:t>
            </w:r>
            <w:r>
              <w:rPr>
                <w:rFonts w:ascii="楷体" w:hAnsi="楷体" w:eastAsia="楷体"/>
                <w:b/>
                <w:sz w:val="28"/>
              </w:rPr>
              <w:t>CDF2004169</w:t>
            </w:r>
          </w:p>
          <w:p>
            <w:pPr>
              <w:pStyle w:val="226"/>
              <w:tabs>
                <w:tab w:val="left" w:pos="4320"/>
              </w:tabs>
              <w:spacing w:line="400" w:lineRule="exact"/>
              <w:ind w:right="744"/>
              <w:jc w:val="left"/>
              <w:rPr>
                <w:rFonts w:ascii="楷体" w:hAnsi="楷体" w:eastAsia="楷体"/>
                <w:b/>
                <w:sz w:val="28"/>
              </w:rPr>
            </w:pPr>
          </w:p>
          <w:p>
            <w:pPr>
              <w:spacing w:line="480" w:lineRule="auto"/>
              <w:jc w:val="center"/>
              <w:rPr>
                <w:rFonts w:ascii="楷体" w:hAnsi="楷体"/>
                <w:b/>
                <w:sz w:val="30"/>
                <w:u w:val="single"/>
              </w:rPr>
            </w:pPr>
            <w:r>
              <w:rPr>
                <w:rFonts w:hint="eastAsia" w:ascii="楷体" w:hAnsi="楷体"/>
                <w:b/>
                <w:sz w:val="30"/>
                <w:u w:val="single"/>
              </w:rPr>
              <w:t xml:space="preserve">  国网四川成都供电公司变电检修工区</w:t>
            </w:r>
            <w:r>
              <w:rPr>
                <w:rFonts w:ascii="楷体" w:hAnsi="楷体"/>
                <w:b/>
                <w:sz w:val="30"/>
                <w:u w:val="single"/>
              </w:rPr>
              <w:t>110kV金沙变电站等8座变电站大电流开关柜散热装置控制智能化专项整治</w:t>
            </w:r>
            <w:r>
              <w:rPr>
                <w:rFonts w:hint="eastAsia" w:ascii="楷体" w:hAnsi="楷体"/>
                <w:b/>
                <w:sz w:val="30"/>
                <w:u w:val="single"/>
              </w:rPr>
              <w:t>服务</w:t>
            </w:r>
          </w:p>
          <w:p>
            <w:pPr>
              <w:pStyle w:val="87"/>
              <w:jc w:val="center"/>
              <w:rPr>
                <w:rFonts w:ascii="楷体" w:hAnsi="楷体" w:eastAsia="楷体"/>
                <w:sz w:val="44"/>
              </w:rPr>
            </w:pPr>
            <w:r>
              <w:rPr>
                <w:rFonts w:hint="eastAsia" w:ascii="楷体" w:hAnsi="楷体" w:eastAsia="楷体"/>
                <w:sz w:val="44"/>
              </w:rPr>
              <w:t xml:space="preserve"> </w:t>
            </w:r>
            <w:r>
              <w:rPr>
                <w:rFonts w:hint="eastAsia" w:ascii="楷体" w:hAnsi="楷体" w:eastAsia="楷体"/>
                <w:sz w:val="36"/>
                <w:szCs w:val="36"/>
              </w:rPr>
              <w:t>公开</w:t>
            </w:r>
            <w:r>
              <w:rPr>
                <w:rFonts w:hint="eastAsia" w:ascii="楷体" w:hAnsi="楷体" w:eastAsia="楷体"/>
                <w:sz w:val="36"/>
              </w:rPr>
              <w:t>竞争性谈判</w:t>
            </w:r>
            <w:r>
              <w:rPr>
                <w:rFonts w:hint="eastAsia" w:ascii="楷体" w:hAnsi="楷体" w:eastAsia="楷体"/>
                <w:b/>
                <w:sz w:val="36"/>
              </w:rPr>
              <w:t xml:space="preserve"> </w:t>
            </w:r>
          </w:p>
          <w:p>
            <w:pPr>
              <w:pStyle w:val="87"/>
              <w:jc w:val="center"/>
              <w:rPr>
                <w:rFonts w:ascii="楷体" w:hAnsi="楷体" w:eastAsia="楷体"/>
                <w:sz w:val="52"/>
              </w:rPr>
            </w:pPr>
          </w:p>
          <w:p>
            <w:pPr>
              <w:pStyle w:val="87"/>
              <w:jc w:val="center"/>
              <w:rPr>
                <w:rFonts w:ascii="楷体" w:hAnsi="楷体" w:eastAsia="楷体"/>
                <w:sz w:val="44"/>
              </w:rPr>
            </w:pPr>
            <w:r>
              <w:rPr>
                <w:rFonts w:hint="eastAsia" w:ascii="楷体" w:hAnsi="楷体" w:eastAsia="楷体"/>
                <w:sz w:val="52"/>
              </w:rPr>
              <w:t>应答文件</w:t>
            </w:r>
          </w:p>
          <w:p>
            <w:pPr>
              <w:pStyle w:val="358"/>
              <w:spacing w:line="360" w:lineRule="auto"/>
              <w:jc w:val="center"/>
              <w:rPr>
                <w:rFonts w:hint="default" w:ascii="楷体" w:hAnsi="楷体" w:eastAsia="楷体"/>
                <w:sz w:val="30"/>
              </w:rPr>
            </w:pPr>
            <w:r>
              <w:rPr>
                <w:rFonts w:ascii="楷体" w:hAnsi="楷体" w:eastAsia="楷体"/>
                <w:sz w:val="32"/>
              </w:rPr>
              <w:t xml:space="preserve">  </w:t>
            </w:r>
            <w:r>
              <w:rPr>
                <w:rFonts w:ascii="楷体" w:hAnsi="楷体" w:eastAsia="楷体"/>
                <w:sz w:val="30"/>
              </w:rPr>
              <w:t>第一卷 应答函及报价文件</w:t>
            </w:r>
          </w:p>
          <w:p>
            <w:pPr>
              <w:pStyle w:val="87"/>
              <w:spacing w:line="360" w:lineRule="auto"/>
              <w:jc w:val="center"/>
              <w:rPr>
                <w:rFonts w:ascii="楷体" w:hAnsi="楷体" w:eastAsia="楷体"/>
                <w:sz w:val="32"/>
              </w:rPr>
            </w:pPr>
            <w:r>
              <w:rPr>
                <w:rFonts w:ascii="楷体" w:hAnsi="楷体" w:eastAsia="楷体"/>
                <w:sz w:val="30"/>
              </w:rPr>
              <w:t xml:space="preserve">（第二卷 </w:t>
            </w:r>
            <w:r>
              <w:rPr>
                <w:rFonts w:hint="eastAsia" w:ascii="楷体" w:hAnsi="楷体" w:eastAsia="楷体"/>
                <w:sz w:val="30"/>
              </w:rPr>
              <w:t>综合应答文件</w:t>
            </w:r>
            <w:r>
              <w:rPr>
                <w:rFonts w:ascii="楷体" w:hAnsi="楷体" w:eastAsia="楷体"/>
                <w:sz w:val="30"/>
              </w:rPr>
              <w:t>）</w:t>
            </w:r>
          </w:p>
          <w:p>
            <w:pPr>
              <w:pStyle w:val="87"/>
              <w:spacing w:line="360" w:lineRule="auto"/>
              <w:rPr>
                <w:rFonts w:ascii="楷体" w:hAnsi="楷体" w:eastAsia="楷体"/>
                <w:sz w:val="32"/>
              </w:rPr>
            </w:pPr>
          </w:p>
          <w:p>
            <w:pPr>
              <w:pStyle w:val="87"/>
              <w:rPr>
                <w:rFonts w:ascii="楷体" w:hAnsi="楷体" w:eastAsia="楷体"/>
                <w:sz w:val="28"/>
              </w:rPr>
            </w:pPr>
          </w:p>
          <w:p>
            <w:pPr>
              <w:pStyle w:val="87"/>
              <w:jc w:val="center"/>
              <w:rPr>
                <w:rFonts w:ascii="楷体" w:hAnsi="楷体" w:eastAsia="楷体"/>
                <w:sz w:val="28"/>
                <w:u w:val="single"/>
              </w:rPr>
            </w:pPr>
            <w:r>
              <w:rPr>
                <w:rFonts w:hint="eastAsia" w:ascii="楷体" w:hAnsi="楷体" w:eastAsia="楷体"/>
                <w:sz w:val="28"/>
              </w:rPr>
              <w:t>应答</w:t>
            </w:r>
            <w:r>
              <w:rPr>
                <w:rFonts w:ascii="楷体" w:hAnsi="楷体" w:eastAsia="楷体"/>
                <w:sz w:val="28"/>
              </w:rPr>
              <w:t>人：</w:t>
            </w:r>
            <w:r>
              <w:rPr>
                <w:rFonts w:hint="eastAsia" w:ascii="楷体" w:hAnsi="楷体" w:eastAsia="楷体"/>
                <w:sz w:val="28"/>
                <w:u w:val="single"/>
              </w:rPr>
              <w:t xml:space="preserve"> </w:t>
            </w:r>
            <w:r>
              <w:rPr>
                <w:rFonts w:ascii="楷体" w:hAnsi="楷体" w:eastAsia="楷体"/>
                <w:sz w:val="28"/>
                <w:u w:val="single"/>
              </w:rPr>
              <w:t xml:space="preserve">  </w:t>
            </w:r>
            <w:r>
              <w:rPr>
                <w:rFonts w:hint="eastAsia" w:ascii="楷体" w:hAnsi="楷体" w:eastAsia="楷体"/>
                <w:sz w:val="28"/>
                <w:u w:val="single"/>
              </w:rPr>
              <w:t xml:space="preserve">四川大学   </w:t>
            </w:r>
            <w:r>
              <w:rPr>
                <w:rFonts w:ascii="楷体" w:hAnsi="楷体" w:eastAsia="楷体"/>
                <w:sz w:val="28"/>
              </w:rPr>
              <w:t>（盖单位章）</w:t>
            </w:r>
          </w:p>
          <w:p>
            <w:pPr>
              <w:pStyle w:val="87"/>
              <w:jc w:val="center"/>
              <w:rPr>
                <w:rFonts w:ascii="楷体" w:hAnsi="楷体" w:eastAsia="楷体"/>
                <w:sz w:val="28"/>
              </w:rPr>
            </w:pPr>
            <w:r>
              <w:rPr>
                <w:rFonts w:ascii="楷体" w:hAnsi="楷体" w:eastAsia="楷体"/>
                <w:sz w:val="28"/>
              </w:rPr>
              <w:t>法定代表人或其委托代理人：</w:t>
            </w:r>
            <w:r>
              <w:rPr>
                <w:rFonts w:hint="eastAsia" w:ascii="楷体" w:hAnsi="楷体" w:eastAsia="楷体"/>
                <w:sz w:val="28"/>
                <w:u w:val="single"/>
              </w:rPr>
              <w:t xml:space="preserve">           </w:t>
            </w:r>
            <w:r>
              <w:rPr>
                <w:rFonts w:ascii="楷体" w:hAnsi="楷体" w:eastAsia="楷体"/>
                <w:sz w:val="28"/>
              </w:rPr>
              <w:t>（签字）</w:t>
            </w:r>
          </w:p>
          <w:p>
            <w:pPr>
              <w:pStyle w:val="87"/>
              <w:jc w:val="center"/>
              <w:rPr>
                <w:rFonts w:ascii="楷体" w:hAnsi="楷体" w:eastAsia="楷体"/>
                <w:sz w:val="28"/>
              </w:rPr>
            </w:pPr>
            <w:r>
              <w:rPr>
                <w:rFonts w:hint="eastAsia" w:ascii="楷体" w:hAnsi="楷体" w:eastAsia="楷体"/>
                <w:sz w:val="28"/>
              </w:rPr>
              <w:t xml:space="preserve">  </w:t>
            </w:r>
          </w:p>
          <w:p>
            <w:pPr>
              <w:pStyle w:val="87"/>
              <w:jc w:val="center"/>
              <w:rPr>
                <w:rFonts w:ascii="楷体" w:hAnsi="楷体" w:eastAsia="楷体"/>
                <w:sz w:val="28"/>
              </w:rPr>
            </w:pPr>
            <w:r>
              <w:rPr>
                <w:rFonts w:hint="eastAsia" w:ascii="楷体" w:hAnsi="楷体" w:eastAsia="楷体"/>
                <w:sz w:val="28"/>
                <w:u w:val="single"/>
              </w:rPr>
              <w:t xml:space="preserve">  </w:t>
            </w:r>
            <w:r>
              <w:rPr>
                <w:rFonts w:ascii="楷体" w:hAnsi="楷体" w:eastAsia="楷体"/>
                <w:sz w:val="28"/>
                <w:u w:val="single"/>
              </w:rPr>
              <w:t>2020</w:t>
            </w:r>
            <w:r>
              <w:rPr>
                <w:rFonts w:hint="eastAsia" w:ascii="楷体" w:hAnsi="楷体" w:eastAsia="楷体"/>
                <w:sz w:val="28"/>
                <w:u w:val="single"/>
              </w:rPr>
              <w:t xml:space="preserve"> </w:t>
            </w:r>
            <w:r>
              <w:rPr>
                <w:rFonts w:ascii="楷体" w:hAnsi="楷体" w:eastAsia="楷体"/>
                <w:sz w:val="28"/>
              </w:rPr>
              <w:t>年</w:t>
            </w:r>
            <w:r>
              <w:rPr>
                <w:rFonts w:hint="eastAsia" w:ascii="楷体" w:hAnsi="楷体" w:eastAsia="楷体"/>
                <w:sz w:val="28"/>
                <w:u w:val="single"/>
              </w:rPr>
              <w:t xml:space="preserve"> </w:t>
            </w:r>
            <w:r>
              <w:rPr>
                <w:rFonts w:ascii="楷体" w:hAnsi="楷体" w:eastAsia="楷体"/>
                <w:sz w:val="28"/>
                <w:u w:val="single"/>
              </w:rPr>
              <w:t xml:space="preserve"> 5</w:t>
            </w:r>
            <w:r>
              <w:rPr>
                <w:rFonts w:hint="eastAsia" w:ascii="楷体" w:hAnsi="楷体" w:eastAsia="楷体"/>
                <w:sz w:val="28"/>
                <w:u w:val="single"/>
              </w:rPr>
              <w:t xml:space="preserve">  </w:t>
            </w:r>
            <w:r>
              <w:rPr>
                <w:rFonts w:ascii="楷体" w:hAnsi="楷体" w:eastAsia="楷体"/>
                <w:sz w:val="28"/>
              </w:rPr>
              <w:t>月</w:t>
            </w:r>
          </w:p>
          <w:p>
            <w:pPr>
              <w:pStyle w:val="358"/>
              <w:spacing w:line="360" w:lineRule="auto"/>
              <w:rPr>
                <w:rFonts w:hint="default" w:ascii="楷体" w:hAnsi="楷体" w:eastAsia="楷体"/>
                <w:sz w:val="32"/>
              </w:rPr>
            </w:pPr>
          </w:p>
        </w:tc>
      </w:tr>
    </w:tbl>
    <w:p>
      <w:pPr>
        <w:pStyle w:val="87"/>
        <w:rPr>
          <w:rFonts w:ascii="楷体" w:hAnsi="楷体" w:eastAsia="楷体"/>
        </w:rPr>
      </w:pPr>
    </w:p>
    <w:p>
      <w:pPr>
        <w:jc w:val="center"/>
        <w:rPr>
          <w:rFonts w:ascii="楷体" w:hAnsi="楷体"/>
          <w:b/>
          <w:sz w:val="28"/>
        </w:rPr>
      </w:pPr>
      <w:r>
        <w:rPr>
          <w:rFonts w:ascii="楷体" w:hAnsi="楷体"/>
          <w:b/>
          <w:sz w:val="28"/>
        </w:rPr>
        <w:br w:type="page"/>
      </w:r>
      <w:r>
        <w:rPr>
          <w:rFonts w:hint="eastAsia" w:ascii="楷体" w:hAnsi="楷体"/>
          <w:b/>
          <w:sz w:val="28"/>
        </w:rPr>
        <w:t>目    录</w:t>
      </w:r>
    </w:p>
    <w:p>
      <w:pPr>
        <w:jc w:val="center"/>
        <w:rPr>
          <w:rFonts w:ascii="楷体" w:hAnsi="楷体"/>
        </w:rPr>
      </w:pPr>
    </w:p>
    <w:p>
      <w:pPr>
        <w:pStyle w:val="210"/>
        <w:autoSpaceDE w:val="0"/>
        <w:autoSpaceDN w:val="0"/>
        <w:adjustRightInd w:val="0"/>
        <w:spacing w:line="360" w:lineRule="auto"/>
        <w:ind w:right="105" w:rightChars="50"/>
        <w:jc w:val="left"/>
        <w:outlineLvl w:val="0"/>
        <w:rPr>
          <w:rFonts w:ascii="楷体" w:hAnsi="楷体" w:eastAsia="楷体"/>
          <w:b/>
        </w:rPr>
      </w:pPr>
      <w:r>
        <w:rPr>
          <w:rFonts w:hint="eastAsia" w:ascii="楷体" w:hAnsi="楷体" w:eastAsia="楷体"/>
          <w:b/>
        </w:rPr>
        <w:t>第一卷  应答函及报价文件</w:t>
      </w:r>
    </w:p>
    <w:p>
      <w:pPr>
        <w:pStyle w:val="275"/>
        <w:widowControl/>
        <w:spacing w:line="360" w:lineRule="auto"/>
        <w:ind w:right="105" w:rightChars="50"/>
        <w:jc w:val="left"/>
        <w:rPr>
          <w:rFonts w:ascii="楷体" w:hAnsi="楷体" w:eastAsia="楷体"/>
        </w:rPr>
      </w:pPr>
      <w:r>
        <w:rPr>
          <w:rFonts w:hint="eastAsia" w:ascii="楷体" w:hAnsi="楷体" w:eastAsia="楷体"/>
        </w:rPr>
        <w:t>一、应答函及应答函附表</w:t>
      </w:r>
    </w:p>
    <w:p>
      <w:pPr>
        <w:pStyle w:val="275"/>
        <w:widowControl/>
        <w:spacing w:line="360" w:lineRule="auto"/>
        <w:ind w:right="105" w:rightChars="50"/>
        <w:jc w:val="left"/>
        <w:rPr>
          <w:rFonts w:ascii="楷体" w:hAnsi="楷体" w:eastAsia="楷体"/>
          <w:kern w:val="0"/>
        </w:rPr>
      </w:pPr>
      <w:r>
        <w:rPr>
          <w:rFonts w:hint="eastAsia" w:ascii="楷体" w:hAnsi="楷体" w:eastAsia="楷体"/>
          <w:kern w:val="0"/>
        </w:rPr>
        <w:t>二、</w:t>
      </w:r>
      <w:r>
        <w:rPr>
          <w:rFonts w:hint="eastAsia" w:ascii="楷体" w:hAnsi="楷体" w:eastAsia="楷体"/>
        </w:rPr>
        <w:t>应答保证金承诺函</w:t>
      </w:r>
      <w:r>
        <w:rPr>
          <w:rFonts w:ascii="楷体" w:hAnsi="楷体" w:eastAsia="楷体"/>
          <w:kern w:val="0"/>
        </w:rPr>
        <w:t>(</w:t>
      </w:r>
      <w:r>
        <w:rPr>
          <w:rFonts w:hint="eastAsia" w:ascii="楷体" w:hAnsi="楷体" w:eastAsia="楷体"/>
          <w:kern w:val="0"/>
        </w:rPr>
        <w:t>本次无</w:t>
      </w:r>
      <w:r>
        <w:rPr>
          <w:rFonts w:ascii="楷体" w:hAnsi="楷体" w:eastAsia="楷体"/>
          <w:kern w:val="0"/>
        </w:rPr>
        <w:t>)</w:t>
      </w:r>
    </w:p>
    <w:p>
      <w:pPr>
        <w:pStyle w:val="275"/>
        <w:widowControl/>
        <w:spacing w:line="360" w:lineRule="auto"/>
        <w:ind w:right="105" w:rightChars="50"/>
        <w:jc w:val="left"/>
        <w:rPr>
          <w:rFonts w:ascii="楷体" w:hAnsi="楷体" w:eastAsia="楷体"/>
          <w:kern w:val="0"/>
        </w:rPr>
      </w:pPr>
      <w:r>
        <w:rPr>
          <w:rFonts w:hint="eastAsia" w:ascii="楷体" w:hAnsi="楷体" w:eastAsia="楷体"/>
          <w:kern w:val="0"/>
        </w:rPr>
        <w:t>三、报价单</w:t>
      </w:r>
    </w:p>
    <w:p>
      <w:pPr>
        <w:pStyle w:val="210"/>
        <w:autoSpaceDE w:val="0"/>
        <w:autoSpaceDN w:val="0"/>
        <w:adjustRightInd w:val="0"/>
        <w:spacing w:line="360" w:lineRule="auto"/>
        <w:ind w:right="105" w:rightChars="50"/>
        <w:jc w:val="left"/>
        <w:outlineLvl w:val="0"/>
        <w:rPr>
          <w:rFonts w:ascii="楷体" w:hAnsi="楷体" w:eastAsia="楷体"/>
          <w:b/>
        </w:rPr>
      </w:pPr>
      <w:r>
        <w:rPr>
          <w:rFonts w:hint="eastAsia" w:ascii="楷体" w:hAnsi="楷体" w:eastAsia="楷体"/>
          <w:b/>
        </w:rPr>
        <w:t>第二卷 综合应答文件</w:t>
      </w:r>
    </w:p>
    <w:p>
      <w:pPr>
        <w:pStyle w:val="210"/>
        <w:autoSpaceDE w:val="0"/>
        <w:autoSpaceDN w:val="0"/>
        <w:adjustRightInd w:val="0"/>
        <w:spacing w:line="360" w:lineRule="auto"/>
        <w:ind w:right="-23"/>
        <w:jc w:val="left"/>
        <w:rPr>
          <w:rFonts w:ascii="楷体" w:hAnsi="楷体" w:eastAsia="楷体"/>
        </w:rPr>
      </w:pPr>
      <w:r>
        <w:rPr>
          <w:rFonts w:hint="eastAsia" w:ascii="楷体" w:hAnsi="楷体" w:eastAsia="楷体"/>
        </w:rPr>
        <w:t>一、应答人法定代表人授权委托书</w:t>
      </w:r>
    </w:p>
    <w:p>
      <w:pPr>
        <w:pStyle w:val="275"/>
        <w:widowControl/>
        <w:spacing w:line="360" w:lineRule="auto"/>
        <w:ind w:right="-23"/>
        <w:jc w:val="left"/>
        <w:rPr>
          <w:rFonts w:ascii="楷体" w:hAnsi="楷体" w:eastAsia="楷体"/>
        </w:rPr>
      </w:pPr>
      <w:r>
        <w:rPr>
          <w:rFonts w:hint="eastAsia" w:ascii="楷体" w:hAnsi="楷体" w:eastAsia="楷体"/>
        </w:rPr>
        <w:t>二、采购人、采购代理机构与应答人三方约定</w:t>
      </w:r>
    </w:p>
    <w:p>
      <w:pPr>
        <w:pStyle w:val="275"/>
        <w:widowControl/>
        <w:spacing w:line="360" w:lineRule="auto"/>
        <w:ind w:right="-23"/>
        <w:jc w:val="left"/>
        <w:rPr>
          <w:rFonts w:ascii="楷体" w:hAnsi="楷体" w:eastAsia="楷体"/>
        </w:rPr>
      </w:pPr>
      <w:r>
        <w:rPr>
          <w:rFonts w:hint="eastAsia" w:ascii="楷体" w:hAnsi="楷体" w:eastAsia="楷体"/>
        </w:rPr>
        <w:t>三、应答人资格审查资料（商务、技术）</w:t>
      </w:r>
    </w:p>
    <w:p>
      <w:pPr>
        <w:pStyle w:val="275"/>
        <w:widowControl/>
        <w:spacing w:line="360" w:lineRule="auto"/>
        <w:ind w:right="-23"/>
        <w:jc w:val="left"/>
        <w:rPr>
          <w:rFonts w:ascii="楷体" w:hAnsi="楷体" w:eastAsia="楷体"/>
        </w:rPr>
      </w:pPr>
      <w:r>
        <w:rPr>
          <w:rFonts w:hint="eastAsia" w:ascii="楷体" w:hAnsi="楷体" w:eastAsia="楷体"/>
        </w:rPr>
        <w:t>四、对业主的培训方案</w:t>
      </w:r>
    </w:p>
    <w:p>
      <w:pPr>
        <w:pStyle w:val="275"/>
        <w:widowControl/>
        <w:spacing w:line="360" w:lineRule="auto"/>
        <w:ind w:right="-23"/>
        <w:jc w:val="left"/>
        <w:rPr>
          <w:rFonts w:ascii="楷体" w:hAnsi="楷体" w:eastAsia="楷体"/>
        </w:rPr>
      </w:pPr>
      <w:r>
        <w:rPr>
          <w:rFonts w:hint="eastAsia" w:ascii="楷体" w:hAnsi="楷体" w:eastAsia="楷体"/>
        </w:rPr>
        <w:t>五、服务大纲、服务方案及服务承诺</w:t>
      </w:r>
    </w:p>
    <w:p>
      <w:pPr>
        <w:pStyle w:val="275"/>
        <w:widowControl/>
        <w:spacing w:line="360" w:lineRule="auto"/>
        <w:ind w:right="-23"/>
        <w:jc w:val="left"/>
        <w:rPr>
          <w:rFonts w:ascii="楷体" w:hAnsi="楷体" w:eastAsia="楷体"/>
        </w:rPr>
      </w:pPr>
      <w:r>
        <w:rPr>
          <w:rFonts w:hint="eastAsia" w:ascii="楷体" w:hAnsi="楷体" w:eastAsia="楷体"/>
        </w:rPr>
        <w:t>六、评审条件、标准及采购文件要求的其它内容</w:t>
      </w:r>
    </w:p>
    <w:p>
      <w:pPr>
        <w:pStyle w:val="275"/>
        <w:widowControl/>
        <w:spacing w:line="360" w:lineRule="auto"/>
        <w:ind w:right="-23"/>
        <w:jc w:val="left"/>
        <w:rPr>
          <w:rFonts w:ascii="楷体" w:hAnsi="楷体" w:eastAsia="楷体"/>
        </w:rPr>
      </w:pPr>
      <w:r>
        <w:rPr>
          <w:rFonts w:hint="eastAsia" w:ascii="楷体" w:hAnsi="楷体" w:eastAsia="楷体"/>
        </w:rPr>
        <w:t>七、应答人需说明的其它问题</w:t>
      </w:r>
    </w:p>
    <w:p>
      <w:pPr>
        <w:pStyle w:val="275"/>
        <w:widowControl/>
        <w:spacing w:line="360" w:lineRule="auto"/>
        <w:ind w:right="-23"/>
        <w:jc w:val="left"/>
        <w:rPr>
          <w:rFonts w:ascii="楷体" w:hAnsi="楷体" w:eastAsia="楷体"/>
        </w:rPr>
      </w:pPr>
      <w:r>
        <w:rPr>
          <w:rFonts w:hint="eastAsia" w:ascii="楷体" w:hAnsi="楷体" w:eastAsia="楷体"/>
        </w:rPr>
        <w:t>八、偏差表格式</w:t>
      </w:r>
    </w:p>
    <w:p>
      <w:pPr>
        <w:pStyle w:val="275"/>
        <w:widowControl/>
        <w:spacing w:line="360" w:lineRule="auto"/>
        <w:ind w:right="-23"/>
        <w:jc w:val="left"/>
        <w:rPr>
          <w:rFonts w:ascii="楷体" w:hAnsi="楷体" w:eastAsia="楷体" w:cs="楷体"/>
          <w:color w:val="000000"/>
          <w:szCs w:val="24"/>
        </w:rPr>
      </w:pPr>
      <w:r>
        <w:rPr>
          <w:rFonts w:hint="eastAsia" w:ascii="楷体" w:hAnsi="楷体" w:eastAsia="楷体" w:cs="楷体"/>
          <w:color w:val="000000"/>
          <w:szCs w:val="24"/>
        </w:rPr>
        <w:t>九、增值税适用税率声明</w:t>
      </w:r>
    </w:p>
    <w:p>
      <w:pPr>
        <w:pStyle w:val="275"/>
        <w:widowControl/>
        <w:spacing w:line="360" w:lineRule="auto"/>
        <w:ind w:right="-23"/>
        <w:jc w:val="left"/>
        <w:rPr>
          <w:rFonts w:ascii="楷体" w:hAnsi="楷体" w:eastAsia="楷体" w:cs="楷体"/>
          <w:color w:val="000000"/>
          <w:szCs w:val="24"/>
        </w:rPr>
      </w:pPr>
      <w:r>
        <w:rPr>
          <w:rFonts w:hint="eastAsia" w:ascii="楷体" w:hAnsi="楷体" w:eastAsia="楷体" w:cs="楷体"/>
          <w:color w:val="000000"/>
          <w:szCs w:val="24"/>
        </w:rPr>
        <w:t>十、信誉要求证明</w:t>
      </w:r>
    </w:p>
    <w:p>
      <w:pPr>
        <w:pStyle w:val="275"/>
        <w:widowControl/>
        <w:spacing w:line="360" w:lineRule="auto"/>
        <w:ind w:right="-23"/>
        <w:jc w:val="left"/>
        <w:rPr>
          <w:rFonts w:ascii="楷体" w:hAnsi="楷体" w:eastAsia="楷体"/>
        </w:rPr>
      </w:pPr>
      <w:r>
        <w:rPr>
          <w:rFonts w:hint="eastAsia" w:ascii="楷体" w:hAnsi="楷体" w:eastAsia="楷体" w:cs="楷体"/>
          <w:color w:val="000000"/>
          <w:szCs w:val="24"/>
        </w:rPr>
        <w:t>十一、信誉要求的承诺函</w:t>
      </w:r>
    </w:p>
    <w:p>
      <w:pPr>
        <w:pStyle w:val="275"/>
        <w:widowControl/>
        <w:spacing w:line="360" w:lineRule="auto"/>
        <w:ind w:right="105" w:rightChars="50"/>
        <w:jc w:val="left"/>
        <w:outlineLvl w:val="0"/>
        <w:rPr>
          <w:rFonts w:ascii="楷体" w:hAnsi="楷体" w:eastAsia="楷体"/>
          <w:b/>
        </w:rPr>
      </w:pPr>
      <w:r>
        <w:rPr>
          <w:rFonts w:hint="eastAsia" w:ascii="楷体" w:hAnsi="楷体" w:eastAsia="楷体"/>
          <w:b/>
        </w:rPr>
        <w:t>第三卷  应答</w:t>
      </w:r>
      <w:r>
        <w:rPr>
          <w:rFonts w:ascii="楷体" w:hAnsi="楷体" w:eastAsia="楷体"/>
          <w:b/>
        </w:rPr>
        <w:t>文件电子版一份（U盘）</w:t>
      </w:r>
    </w:p>
    <w:p>
      <w:pPr>
        <w:pStyle w:val="4"/>
        <w:jc w:val="center"/>
        <w:outlineLvl w:val="0"/>
        <w:rPr>
          <w:rFonts w:ascii="楷体" w:hAnsi="楷体" w:cs="楷体"/>
          <w:bCs/>
          <w:szCs w:val="24"/>
        </w:rPr>
      </w:pPr>
      <w:r>
        <w:rPr>
          <w:rFonts w:ascii="楷体" w:hAnsi="楷体"/>
        </w:rPr>
        <w:br w:type="page"/>
      </w:r>
      <w:r>
        <w:rPr>
          <w:rFonts w:hint="eastAsia" w:ascii="楷体" w:hAnsi="楷体" w:cs="楷体"/>
          <w:bCs/>
          <w:szCs w:val="24"/>
        </w:rPr>
        <w:t>第一卷  应答函及报价文件</w:t>
      </w:r>
    </w:p>
    <w:p>
      <w:pPr>
        <w:pStyle w:val="87"/>
        <w:spacing w:line="400" w:lineRule="exact"/>
        <w:ind w:firstLine="422" w:firstLineChars="200"/>
        <w:rPr>
          <w:rFonts w:ascii="楷体" w:hAnsi="楷体" w:eastAsia="楷体"/>
          <w:b/>
        </w:rPr>
      </w:pPr>
      <w:r>
        <w:rPr>
          <w:rFonts w:hint="eastAsia" w:ascii="楷体" w:hAnsi="楷体" w:eastAsia="楷体"/>
          <w:b/>
        </w:rPr>
        <w:t>应答函及报价文件文件必须有应答人法定代表人或授权人签字并加盖公章。</w:t>
      </w:r>
    </w:p>
    <w:p>
      <w:pPr>
        <w:pStyle w:val="2"/>
        <w:outlineLvl w:val="1"/>
      </w:pPr>
      <w:r>
        <w:t>一、</w:t>
      </w:r>
      <w:r>
        <w:rPr>
          <w:rFonts w:hint="eastAsia"/>
        </w:rPr>
        <w:t>应答函及应答函附表</w:t>
      </w:r>
    </w:p>
    <w:p>
      <w:pPr>
        <w:jc w:val="center"/>
        <w:outlineLvl w:val="2"/>
        <w:rPr>
          <w:rFonts w:ascii="楷体" w:hAnsi="楷体"/>
          <w:b/>
          <w:sz w:val="24"/>
        </w:rPr>
      </w:pPr>
      <w:bookmarkStart w:id="0" w:name="_Toc144974860"/>
      <w:bookmarkStart w:id="1" w:name="_Toc152042580"/>
      <w:bookmarkStart w:id="2" w:name="_Toc179632811"/>
      <w:bookmarkStart w:id="3" w:name="_Toc152045791"/>
      <w:bookmarkStart w:id="4" w:name="_Toc247085877"/>
      <w:bookmarkStart w:id="5" w:name="_Toc246997102"/>
      <w:bookmarkStart w:id="6" w:name="_Toc246996359"/>
      <w:bookmarkStart w:id="7" w:name="_Toc296602605"/>
      <w:r>
        <w:rPr>
          <w:rFonts w:hint="eastAsia" w:ascii="楷体" w:hAnsi="楷体"/>
          <w:b/>
          <w:sz w:val="24"/>
        </w:rPr>
        <w:t>（一）应答函</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pPr>
              <w:spacing w:line="400" w:lineRule="exact"/>
              <w:rPr>
                <w:rFonts w:ascii="楷体" w:hAnsi="楷体"/>
                <w:b/>
              </w:rPr>
            </w:pPr>
            <w:r>
              <w:rPr>
                <w:rFonts w:hint="eastAsia" w:ascii="楷体" w:hAnsi="楷体"/>
                <w:b/>
              </w:rPr>
              <w:t xml:space="preserve"> 采购编号:            </w:t>
            </w:r>
          </w:p>
          <w:p>
            <w:pPr>
              <w:spacing w:line="400" w:lineRule="exact"/>
              <w:rPr>
                <w:rFonts w:ascii="楷体" w:hAnsi="楷体"/>
                <w:u w:val="single"/>
              </w:rPr>
            </w:pPr>
          </w:p>
          <w:p>
            <w:pPr>
              <w:spacing w:line="400" w:lineRule="exact"/>
              <w:rPr>
                <w:rFonts w:ascii="楷体" w:hAnsi="楷体"/>
              </w:rPr>
            </w:pPr>
            <w:r>
              <w:rPr>
                <w:rFonts w:hint="eastAsia" w:ascii="楷体" w:hAnsi="楷体"/>
                <w:u w:val="single"/>
              </w:rPr>
              <w:t xml:space="preserve">  国网四川省电力公司成都供电公司</w:t>
            </w:r>
            <w:r>
              <w:rPr>
                <w:rFonts w:hint="eastAsia" w:ascii="楷体" w:hAnsi="楷体"/>
              </w:rPr>
              <w:t xml:space="preserve">（采购人名称）: </w:t>
            </w:r>
          </w:p>
          <w:p>
            <w:pPr>
              <w:spacing w:line="400" w:lineRule="exact"/>
              <w:rPr>
                <w:rFonts w:ascii="楷体" w:hAnsi="楷体"/>
              </w:rPr>
            </w:pPr>
            <w:r>
              <w:rPr>
                <w:rFonts w:hint="eastAsia" w:ascii="楷体" w:hAnsi="楷体"/>
              </w:rPr>
              <w:t>1．我方己仔细研究了</w:t>
            </w:r>
            <w:r>
              <w:rPr>
                <w:rFonts w:hint="eastAsia" w:ascii="楷体" w:hAnsi="楷体"/>
                <w:b/>
                <w:u w:val="single"/>
              </w:rPr>
              <w:t>（ 采购编号:</w:t>
            </w:r>
            <w:r>
              <w:t xml:space="preserve"> </w:t>
            </w:r>
            <w:r>
              <w:rPr>
                <w:rFonts w:ascii="楷体" w:hAnsi="楷体"/>
                <w:b/>
                <w:u w:val="single"/>
              </w:rPr>
              <w:t>CDF2004169</w:t>
            </w:r>
            <w:r>
              <w:rPr>
                <w:rFonts w:hint="eastAsia" w:ascii="楷体" w:hAnsi="楷体"/>
                <w:b/>
                <w:u w:val="single"/>
              </w:rPr>
              <w:t>（国网四川成都供电公司变电检修工区</w:t>
            </w:r>
            <w:r>
              <w:rPr>
                <w:rFonts w:ascii="楷体" w:hAnsi="楷体"/>
                <w:b/>
                <w:u w:val="single"/>
              </w:rPr>
              <w:t>110kV金沙变电站等8座变电站大电流开关柜散热装置控制智能化专项整治服务</w:t>
            </w:r>
            <w:r>
              <w:rPr>
                <w:rFonts w:hint="eastAsia" w:ascii="楷体" w:hAnsi="楷体"/>
                <w:b/>
                <w:u w:val="single"/>
              </w:rPr>
              <w:t>）</w:t>
            </w:r>
            <w:r>
              <w:rPr>
                <w:rFonts w:hint="eastAsia" w:ascii="楷体" w:hAnsi="楷体"/>
              </w:rPr>
              <w:t>采购文件的全部内容，愿意</w:t>
            </w:r>
            <w:r>
              <w:rPr>
                <w:rFonts w:hint="eastAsia" w:ascii="楷体" w:hAnsi="楷体"/>
                <w:b/>
                <w:u w:val="single"/>
              </w:rPr>
              <w:t>以应答函附表</w:t>
            </w:r>
            <w:r>
              <w:rPr>
                <w:rFonts w:hint="eastAsia" w:ascii="楷体" w:hAnsi="楷体"/>
              </w:rPr>
              <w:t>所列的报价，以采购文件要求的工期，并按采购全部要求、</w:t>
            </w:r>
            <w:r>
              <w:rPr>
                <w:rFonts w:ascii="楷体" w:hAnsi="楷体"/>
              </w:rPr>
              <w:t>合同条款、技术规范、图纸</w:t>
            </w:r>
            <w:r>
              <w:rPr>
                <w:rFonts w:hint="eastAsia" w:ascii="楷体" w:hAnsi="楷体"/>
              </w:rPr>
              <w:t>等</w:t>
            </w:r>
            <w:r>
              <w:rPr>
                <w:rFonts w:ascii="楷体" w:hAnsi="楷体"/>
              </w:rPr>
              <w:t>的条件</w:t>
            </w:r>
            <w:r>
              <w:rPr>
                <w:rFonts w:hint="eastAsia" w:ascii="楷体" w:hAnsi="楷体"/>
              </w:rPr>
              <w:t>实施和完成承包工作，修补工作中的任何缺陷，工作质量达到应答人须知前附表1.3.3款的要求。</w:t>
            </w:r>
          </w:p>
          <w:p>
            <w:pPr>
              <w:spacing w:line="400" w:lineRule="exact"/>
              <w:rPr>
                <w:rFonts w:ascii="楷体" w:hAnsi="楷体"/>
              </w:rPr>
            </w:pPr>
            <w:r>
              <w:rPr>
                <w:rFonts w:hint="eastAsia" w:ascii="楷体" w:hAnsi="楷体"/>
              </w:rPr>
              <w:t>2．我方承诺在应答有效期内不修改、撤销应答文件。</w:t>
            </w:r>
          </w:p>
          <w:p>
            <w:pPr>
              <w:spacing w:line="400" w:lineRule="exact"/>
              <w:rPr>
                <w:rFonts w:ascii="楷体" w:hAnsi="楷体"/>
              </w:rPr>
            </w:pPr>
            <w:r>
              <w:rPr>
                <w:rFonts w:hint="eastAsia" w:ascii="楷体" w:hAnsi="楷体"/>
              </w:rPr>
              <w:t>3．如我方被确定为成交供应商：</w:t>
            </w:r>
          </w:p>
          <w:p>
            <w:pPr>
              <w:spacing w:line="400" w:lineRule="exact"/>
              <w:rPr>
                <w:rFonts w:ascii="楷体" w:hAnsi="楷体"/>
              </w:rPr>
            </w:pPr>
            <w:r>
              <w:rPr>
                <w:rFonts w:hint="eastAsia" w:ascii="楷体" w:hAnsi="楷体"/>
              </w:rPr>
              <w:t>（l）我方承诺在收到成交通知书后，在成交通知书规定的期限内与你方签订合同。</w:t>
            </w:r>
          </w:p>
          <w:p>
            <w:pPr>
              <w:spacing w:line="400" w:lineRule="exact"/>
              <w:rPr>
                <w:rFonts w:ascii="楷体" w:hAnsi="楷体"/>
              </w:rPr>
            </w:pPr>
            <w:r>
              <w:rPr>
                <w:rFonts w:hint="eastAsia" w:ascii="楷体" w:hAnsi="楷体"/>
              </w:rPr>
              <w:t>（2）随同本应答函递交的应答函附表属于合同文件的组成部分。</w:t>
            </w:r>
          </w:p>
          <w:p>
            <w:pPr>
              <w:spacing w:line="400" w:lineRule="exact"/>
              <w:rPr>
                <w:rFonts w:ascii="楷体" w:hAnsi="楷体"/>
              </w:rPr>
            </w:pPr>
            <w:r>
              <w:rPr>
                <w:rFonts w:hint="eastAsia" w:ascii="楷体" w:hAnsi="楷体"/>
              </w:rPr>
              <w:t>（3）我方承诺按照采购文件规定向你方递交履约担保。</w:t>
            </w:r>
          </w:p>
          <w:p>
            <w:pPr>
              <w:spacing w:line="400" w:lineRule="exact"/>
              <w:rPr>
                <w:rFonts w:ascii="楷体" w:hAnsi="楷体"/>
              </w:rPr>
            </w:pPr>
            <w:r>
              <w:rPr>
                <w:rFonts w:hint="eastAsia" w:ascii="楷体" w:hAnsi="楷体"/>
              </w:rPr>
              <w:t>（4）我方承诺在合同约定的期限内完成并移交全部合同工作。</w:t>
            </w:r>
          </w:p>
          <w:p>
            <w:pPr>
              <w:spacing w:line="400" w:lineRule="exact"/>
              <w:rPr>
                <w:rFonts w:ascii="楷体" w:hAnsi="楷体"/>
              </w:rPr>
            </w:pPr>
            <w:r>
              <w:rPr>
                <w:rFonts w:hint="eastAsia" w:ascii="楷体" w:hAnsi="楷体"/>
                <w:color w:val="000000"/>
                <w:szCs w:val="21"/>
              </w:rPr>
              <w:t>（5）我方承诺开具增值税专用发票。</w:t>
            </w:r>
          </w:p>
          <w:p>
            <w:pPr>
              <w:spacing w:line="400" w:lineRule="exact"/>
              <w:rPr>
                <w:rFonts w:ascii="楷体" w:hAnsi="楷体"/>
              </w:rPr>
            </w:pPr>
            <w:r>
              <w:rPr>
                <w:rFonts w:hint="eastAsia" w:ascii="楷体" w:hAnsi="楷体"/>
              </w:rPr>
              <w:t>4．我方在此声明，所递交的应答文件及有关资料内容完整、真实和准确，且不存在第二章“应答人须知”第1.4.3 项规定的任何一种情形。</w:t>
            </w:r>
          </w:p>
          <w:p>
            <w:pPr>
              <w:spacing w:line="360" w:lineRule="auto"/>
              <w:rPr>
                <w:rFonts w:ascii="楷体" w:hAnsi="楷体"/>
                <w:sz w:val="20"/>
                <w:u w:val="single"/>
              </w:rPr>
            </w:pPr>
            <w:r>
              <w:rPr>
                <w:rFonts w:hint="eastAsia" w:ascii="楷体" w:hAnsi="楷体"/>
              </w:rPr>
              <w:t>5.我方承诺应答有效期为：</w:t>
            </w:r>
            <w:r>
              <w:rPr>
                <w:rFonts w:hint="eastAsia" w:ascii="楷体" w:hAnsi="楷体"/>
                <w:sz w:val="20"/>
                <w:u w:val="single"/>
              </w:rPr>
              <w:t>采购文件第二章第2.2.2 款规定的开封日后90天（日历日）</w:t>
            </w:r>
          </w:p>
          <w:p>
            <w:pPr>
              <w:spacing w:line="360" w:lineRule="auto"/>
              <w:rPr>
                <w:rFonts w:ascii="楷体" w:hAnsi="楷体"/>
              </w:rPr>
            </w:pPr>
            <w:r>
              <w:rPr>
                <w:rFonts w:hint="eastAsia" w:ascii="楷体" w:hAnsi="楷体"/>
              </w:rPr>
              <w:t>6.</w:t>
            </w:r>
            <w:r>
              <w:rPr>
                <w:rFonts w:hint="eastAsia" w:ascii="楷体" w:hAnsi="楷体"/>
                <w:u w:val="single"/>
              </w:rPr>
              <w:t xml:space="preserve"> 完全响应采购技术标准和要求，同意合同条款</w:t>
            </w:r>
            <w:r>
              <w:rPr>
                <w:rFonts w:hint="eastAsia" w:ascii="楷体" w:hAnsi="楷体"/>
              </w:rPr>
              <w:t>（其他补充说明）。</w:t>
            </w:r>
          </w:p>
          <w:p>
            <w:pPr>
              <w:spacing w:line="400" w:lineRule="exact"/>
              <w:ind w:firstLine="3255" w:firstLineChars="1550"/>
              <w:rPr>
                <w:rFonts w:ascii="楷体" w:hAnsi="楷体"/>
              </w:rPr>
            </w:pPr>
            <w:r>
              <w:rPr>
                <w:rFonts w:hint="eastAsia" w:ascii="楷体" w:hAnsi="楷体"/>
              </w:rPr>
              <w:t>应答人：</w:t>
            </w:r>
            <w:r>
              <w:rPr>
                <w:rFonts w:hint="eastAsia" w:ascii="楷体" w:hAnsi="楷体"/>
                <w:u w:val="single"/>
              </w:rPr>
              <w:t xml:space="preserve">   四川大学          </w:t>
            </w:r>
            <w:r>
              <w:rPr>
                <w:rFonts w:hint="eastAsia" w:ascii="楷体" w:hAnsi="楷体"/>
              </w:rPr>
              <w:t>（盖单位章）</w:t>
            </w:r>
          </w:p>
          <w:p>
            <w:pPr>
              <w:spacing w:line="400" w:lineRule="exact"/>
              <w:ind w:firstLine="3255" w:firstLineChars="1550"/>
              <w:rPr>
                <w:rFonts w:ascii="楷体" w:hAnsi="楷体"/>
              </w:rPr>
            </w:pPr>
            <w:r>
              <w:rPr>
                <w:rFonts w:hint="eastAsia" w:ascii="楷体" w:hAnsi="楷体"/>
              </w:rPr>
              <w:t>法定代表人或其委托代理人：</w:t>
            </w:r>
            <w:r>
              <w:rPr>
                <w:rFonts w:hint="eastAsia" w:ascii="楷体" w:hAnsi="楷体"/>
                <w:u w:val="single"/>
              </w:rPr>
              <w:t xml:space="preserve">      </w:t>
            </w:r>
            <w:r>
              <w:rPr>
                <w:rFonts w:hint="eastAsia" w:ascii="楷体" w:hAnsi="楷体"/>
              </w:rPr>
              <w:t>（签字）</w:t>
            </w:r>
          </w:p>
          <w:p>
            <w:pPr>
              <w:spacing w:line="400" w:lineRule="exact"/>
              <w:ind w:firstLine="3255" w:firstLineChars="1550"/>
              <w:rPr>
                <w:rFonts w:ascii="楷体" w:hAnsi="楷体"/>
              </w:rPr>
            </w:pPr>
            <w:r>
              <w:rPr>
                <w:rFonts w:hint="eastAsia" w:ascii="楷体" w:hAnsi="楷体"/>
              </w:rPr>
              <w:t>地址：</w:t>
            </w:r>
            <w:r>
              <w:rPr>
                <w:rFonts w:hint="eastAsia" w:ascii="楷体" w:hAnsi="楷体"/>
                <w:u w:val="single"/>
              </w:rPr>
              <w:t>四川省成都市一环路南一段</w:t>
            </w:r>
            <w:r>
              <w:rPr>
                <w:rFonts w:ascii="楷体" w:hAnsi="楷体"/>
                <w:u w:val="single"/>
              </w:rPr>
              <w:t>24号</w:t>
            </w:r>
            <w:r>
              <w:rPr>
                <w:rFonts w:hint="eastAsia" w:ascii="楷体" w:hAnsi="楷体"/>
                <w:u w:val="single"/>
              </w:rPr>
              <w:t xml:space="preserve">    </w:t>
            </w:r>
          </w:p>
          <w:p>
            <w:pPr>
              <w:spacing w:line="400" w:lineRule="exact"/>
              <w:ind w:firstLine="3255" w:firstLineChars="1550"/>
              <w:rPr>
                <w:rFonts w:ascii="楷体" w:hAnsi="楷体"/>
              </w:rPr>
            </w:pPr>
            <w:r>
              <w:rPr>
                <w:rFonts w:hint="eastAsia" w:ascii="楷体" w:hAnsi="楷体"/>
              </w:rPr>
              <w:t>电话：</w:t>
            </w:r>
            <w:r>
              <w:rPr>
                <w:rFonts w:hint="eastAsia" w:ascii="楷体" w:hAnsi="楷体"/>
                <w:u w:val="single"/>
              </w:rPr>
              <w:t xml:space="preserve"> </w:t>
            </w:r>
            <w:r>
              <w:rPr>
                <w:rFonts w:ascii="楷体" w:hAnsi="楷体"/>
                <w:u w:val="single"/>
              </w:rPr>
              <w:t xml:space="preserve">028-85463956     </w:t>
            </w:r>
            <w:r>
              <w:rPr>
                <w:rFonts w:hint="eastAsia" w:ascii="楷体" w:hAnsi="楷体"/>
                <w:u w:val="single"/>
              </w:rPr>
              <w:t xml:space="preserve">                </w:t>
            </w:r>
          </w:p>
          <w:p>
            <w:pPr>
              <w:spacing w:line="400" w:lineRule="exact"/>
              <w:ind w:firstLine="3255" w:firstLineChars="1550"/>
              <w:rPr>
                <w:rFonts w:ascii="楷体" w:hAnsi="楷体"/>
              </w:rPr>
            </w:pPr>
            <w:r>
              <w:rPr>
                <w:rFonts w:hint="eastAsia" w:ascii="楷体" w:hAnsi="楷体"/>
              </w:rPr>
              <w:t>传真：</w:t>
            </w:r>
            <w:r>
              <w:rPr>
                <w:rFonts w:hint="eastAsia" w:ascii="楷体" w:hAnsi="楷体"/>
                <w:u w:val="single"/>
              </w:rPr>
              <w:t xml:space="preserve"> </w:t>
            </w:r>
            <w:r>
              <w:rPr>
                <w:rFonts w:ascii="楷体" w:hAnsi="楷体"/>
                <w:u w:val="single"/>
              </w:rPr>
              <w:t>028-85465996</w:t>
            </w:r>
            <w:r>
              <w:rPr>
                <w:rFonts w:hint="eastAsia" w:ascii="楷体" w:hAnsi="楷体"/>
                <w:u w:val="single"/>
              </w:rPr>
              <w:t xml:space="preserve">                    </w:t>
            </w:r>
          </w:p>
          <w:p>
            <w:pPr>
              <w:spacing w:line="400" w:lineRule="exact"/>
              <w:ind w:firstLine="3255" w:firstLineChars="1550"/>
              <w:rPr>
                <w:rFonts w:ascii="楷体" w:hAnsi="楷体"/>
              </w:rPr>
            </w:pPr>
            <w:r>
              <w:rPr>
                <w:rFonts w:hint="eastAsia" w:ascii="楷体" w:hAnsi="楷体"/>
              </w:rPr>
              <w:t>邮政编码：</w:t>
            </w:r>
            <w:r>
              <w:rPr>
                <w:rFonts w:hint="eastAsia" w:ascii="楷体" w:hAnsi="楷体"/>
                <w:u w:val="single"/>
              </w:rPr>
              <w:t xml:space="preserve">  </w:t>
            </w:r>
            <w:r>
              <w:rPr>
                <w:rFonts w:ascii="楷体" w:hAnsi="楷体"/>
                <w:u w:val="single"/>
              </w:rPr>
              <w:t>610065</w:t>
            </w:r>
            <w:r>
              <w:rPr>
                <w:rFonts w:hint="eastAsia" w:ascii="楷体" w:hAnsi="楷体"/>
                <w:u w:val="single"/>
              </w:rPr>
              <w:t xml:space="preserve">                      </w:t>
            </w:r>
          </w:p>
          <w:p>
            <w:pPr>
              <w:spacing w:line="400" w:lineRule="exact"/>
              <w:ind w:firstLine="4305" w:firstLineChars="2050"/>
              <w:rPr>
                <w:rFonts w:ascii="楷体" w:hAnsi="楷体"/>
                <w:sz w:val="24"/>
              </w:rPr>
            </w:pPr>
            <w:r>
              <w:rPr>
                <w:rFonts w:hint="eastAsia" w:ascii="楷体" w:hAnsi="楷体"/>
                <w:u w:val="single"/>
              </w:rPr>
              <w:t xml:space="preserve">  </w:t>
            </w:r>
            <w:r>
              <w:rPr>
                <w:rFonts w:ascii="楷体" w:hAnsi="楷体"/>
                <w:u w:val="single"/>
              </w:rPr>
              <w:t>2020</w:t>
            </w:r>
            <w:r>
              <w:rPr>
                <w:rFonts w:hint="eastAsia" w:ascii="楷体" w:hAnsi="楷体"/>
                <w:u w:val="single"/>
              </w:rPr>
              <w:t xml:space="preserve">  </w:t>
            </w:r>
            <w:r>
              <w:rPr>
                <w:rFonts w:hint="eastAsia" w:ascii="楷体" w:hAnsi="楷体"/>
              </w:rPr>
              <w:t>年</w:t>
            </w:r>
            <w:r>
              <w:rPr>
                <w:rFonts w:hint="eastAsia" w:ascii="楷体" w:hAnsi="楷体"/>
                <w:u w:val="single"/>
              </w:rPr>
              <w:t xml:space="preserve">  </w:t>
            </w:r>
            <w:r>
              <w:rPr>
                <w:rFonts w:ascii="楷体" w:hAnsi="楷体"/>
                <w:u w:val="single"/>
              </w:rPr>
              <w:t>5</w:t>
            </w:r>
            <w:r>
              <w:rPr>
                <w:rFonts w:hint="eastAsia" w:ascii="楷体" w:hAnsi="楷体"/>
                <w:u w:val="single"/>
              </w:rPr>
              <w:t xml:space="preserve">  </w:t>
            </w:r>
            <w:r>
              <w:rPr>
                <w:rFonts w:hint="eastAsia" w:ascii="楷体" w:hAnsi="楷体"/>
              </w:rPr>
              <w:t>月</w:t>
            </w:r>
            <w:r>
              <w:rPr>
                <w:rFonts w:hint="eastAsia" w:ascii="楷体" w:hAnsi="楷体"/>
                <w:u w:val="single"/>
              </w:rPr>
              <w:t xml:space="preserve">  </w:t>
            </w:r>
            <w:r>
              <w:rPr>
                <w:rFonts w:ascii="楷体" w:hAnsi="楷体"/>
                <w:u w:val="single"/>
              </w:rPr>
              <w:t>13</w:t>
            </w:r>
            <w:r>
              <w:rPr>
                <w:rFonts w:hint="eastAsia" w:ascii="楷体" w:hAnsi="楷体"/>
                <w:u w:val="single"/>
              </w:rPr>
              <w:t xml:space="preserve">  </w:t>
            </w:r>
            <w:r>
              <w:rPr>
                <w:rFonts w:hint="eastAsia" w:ascii="楷体" w:hAnsi="楷体"/>
              </w:rPr>
              <w:t>日</w:t>
            </w:r>
          </w:p>
        </w:tc>
      </w:tr>
    </w:tbl>
    <w:p>
      <w:pPr>
        <w:jc w:val="center"/>
        <w:outlineLvl w:val="2"/>
        <w:rPr>
          <w:rFonts w:ascii="楷体" w:hAnsi="楷体"/>
          <w:b/>
          <w:sz w:val="24"/>
        </w:rPr>
      </w:pPr>
      <w:r>
        <w:rPr>
          <w:rFonts w:ascii="楷体" w:hAnsi="楷体" w:cs="楷体"/>
          <w:b/>
          <w:sz w:val="24"/>
        </w:rPr>
        <w:br w:type="page"/>
      </w:r>
      <w:r>
        <w:rPr>
          <w:rFonts w:hint="eastAsia" w:ascii="楷体" w:hAnsi="楷体"/>
          <w:b/>
          <w:sz w:val="24"/>
        </w:rPr>
        <w:t>（二）应答函附表一：报价一览表(总价)</w:t>
      </w:r>
    </w:p>
    <w:p>
      <w:pPr>
        <w:pStyle w:val="309"/>
        <w:adjustRightInd w:val="0"/>
        <w:jc w:val="center"/>
        <w:outlineLvl w:val="2"/>
        <w:rPr>
          <w:rFonts w:ascii="楷体" w:hAnsi="楷体" w:eastAsia="楷体"/>
          <w:b/>
          <w:sz w:val="28"/>
        </w:rPr>
      </w:pPr>
      <w:r>
        <w:rPr>
          <w:rFonts w:hint="eastAsia" w:ascii="楷体" w:hAnsi="楷体" w:eastAsia="楷体"/>
          <w:b/>
          <w:sz w:val="28"/>
        </w:rPr>
        <w:t>报价一览表</w:t>
      </w:r>
    </w:p>
    <w:p>
      <w:pPr>
        <w:pStyle w:val="331"/>
        <w:rPr>
          <w:rFonts w:ascii="楷体" w:hAnsi="楷体" w:eastAsia="楷体"/>
          <w:b/>
        </w:rPr>
      </w:pPr>
    </w:p>
    <w:p>
      <w:pPr>
        <w:pStyle w:val="331"/>
        <w:rPr>
          <w:rFonts w:ascii="楷体" w:hAnsi="楷体" w:eastAsia="楷体"/>
          <w:b/>
          <w:sz w:val="24"/>
        </w:rPr>
      </w:pPr>
      <w:r>
        <w:rPr>
          <w:rFonts w:hint="eastAsia" w:ascii="楷体" w:hAnsi="楷体" w:eastAsia="楷体"/>
          <w:b/>
          <w:sz w:val="24"/>
        </w:rPr>
        <w:t>采购编号:</w:t>
      </w:r>
      <w:r>
        <w:t xml:space="preserve"> </w:t>
      </w:r>
      <w:r>
        <w:rPr>
          <w:rFonts w:ascii="楷体" w:hAnsi="楷体" w:eastAsia="楷体"/>
          <w:b/>
          <w:sz w:val="24"/>
        </w:rPr>
        <w:t>CDF2004169</w:t>
      </w:r>
    </w:p>
    <w:p>
      <w:pPr>
        <w:pStyle w:val="331"/>
        <w:rPr>
          <w:rFonts w:ascii="楷体" w:hAnsi="楷体" w:eastAsia="楷体"/>
          <w:b/>
          <w:sz w:val="24"/>
        </w:rPr>
      </w:pPr>
      <w:r>
        <w:rPr>
          <w:rFonts w:hint="eastAsia" w:ascii="楷体" w:hAnsi="楷体" w:eastAsia="楷体"/>
          <w:b/>
          <w:sz w:val="24"/>
        </w:rPr>
        <w:t>项目名称：国网四川成都供电公司变电检修工区</w:t>
      </w:r>
      <w:r>
        <w:rPr>
          <w:rFonts w:ascii="楷体" w:hAnsi="楷体" w:eastAsia="楷体"/>
          <w:b/>
          <w:sz w:val="24"/>
        </w:rPr>
        <w:t>110kV金沙变电站等8座变电站大电流开关柜散热装置控制智能化专项整治服务</w:t>
      </w:r>
    </w:p>
    <w:p>
      <w:pPr>
        <w:pStyle w:val="309"/>
        <w:adjustRightInd w:val="0"/>
        <w:jc w:val="right"/>
        <w:rPr>
          <w:rFonts w:ascii="楷体" w:hAnsi="楷体" w:eastAsia="楷体"/>
          <w:b/>
          <w:sz w:val="28"/>
        </w:rPr>
      </w:pPr>
      <w:r>
        <w:rPr>
          <w:rFonts w:hint="eastAsia" w:ascii="楷体" w:hAnsi="楷体" w:eastAsia="楷体"/>
          <w:b/>
        </w:rPr>
        <w:t>单位：元</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673"/>
        <w:gridCol w:w="3732"/>
        <w:gridCol w:w="14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18" w:type="dxa"/>
            <w:vAlign w:val="center"/>
          </w:tcPr>
          <w:p>
            <w:pPr>
              <w:pStyle w:val="270"/>
              <w:widowControl/>
              <w:jc w:val="center"/>
              <w:rPr>
                <w:rFonts w:ascii="楷体" w:hAnsi="楷体" w:eastAsia="楷体"/>
                <w:b/>
                <w:bCs/>
                <w:color w:val="000000"/>
                <w:kern w:val="0"/>
                <w:szCs w:val="21"/>
              </w:rPr>
            </w:pPr>
            <w:r>
              <w:rPr>
                <w:rFonts w:ascii="楷体" w:hAnsi="楷体" w:eastAsia="楷体"/>
                <w:b/>
                <w:bCs/>
                <w:color w:val="000000"/>
                <w:kern w:val="0"/>
                <w:szCs w:val="21"/>
              </w:rPr>
              <w:t>序号</w:t>
            </w:r>
          </w:p>
        </w:tc>
        <w:tc>
          <w:tcPr>
            <w:tcW w:w="2673" w:type="dxa"/>
            <w:vAlign w:val="center"/>
          </w:tcPr>
          <w:p>
            <w:pPr>
              <w:pStyle w:val="270"/>
              <w:widowControl/>
              <w:jc w:val="center"/>
              <w:rPr>
                <w:rFonts w:ascii="楷体" w:hAnsi="楷体" w:eastAsia="楷体"/>
                <w:b/>
                <w:bCs/>
                <w:color w:val="000000"/>
                <w:kern w:val="0"/>
                <w:szCs w:val="21"/>
              </w:rPr>
            </w:pPr>
            <w:r>
              <w:rPr>
                <w:rFonts w:hint="eastAsia" w:ascii="楷体" w:hAnsi="楷体" w:eastAsia="楷体"/>
                <w:b/>
                <w:bCs/>
                <w:color w:val="000000"/>
                <w:kern w:val="0"/>
                <w:szCs w:val="21"/>
              </w:rPr>
              <w:t>子项目名称</w:t>
            </w:r>
          </w:p>
        </w:tc>
        <w:tc>
          <w:tcPr>
            <w:tcW w:w="3732" w:type="dxa"/>
            <w:vAlign w:val="center"/>
          </w:tcPr>
          <w:p>
            <w:pPr>
              <w:pStyle w:val="270"/>
              <w:widowControl/>
              <w:jc w:val="center"/>
              <w:rPr>
                <w:rFonts w:ascii="楷体" w:hAnsi="楷体" w:eastAsia="楷体"/>
                <w:b/>
                <w:bCs/>
                <w:color w:val="000000"/>
                <w:kern w:val="0"/>
                <w:szCs w:val="21"/>
              </w:rPr>
            </w:pPr>
            <w:r>
              <w:rPr>
                <w:rFonts w:ascii="楷体" w:hAnsi="楷体" w:eastAsia="楷体"/>
                <w:b/>
                <w:bCs/>
                <w:color w:val="000000"/>
                <w:kern w:val="0"/>
                <w:szCs w:val="21"/>
              </w:rPr>
              <w:t>金 额（元</w:t>
            </w:r>
            <w:r>
              <w:rPr>
                <w:rFonts w:hint="eastAsia" w:ascii="楷体" w:hAnsi="楷体" w:eastAsia="楷体"/>
                <w:b/>
                <w:bCs/>
                <w:color w:val="000000"/>
                <w:kern w:val="0"/>
                <w:szCs w:val="21"/>
              </w:rPr>
              <w:t>）（含增值税</w:t>
            </w:r>
            <w:r>
              <w:rPr>
                <w:rFonts w:ascii="楷体" w:hAnsi="楷体" w:eastAsia="楷体"/>
                <w:b/>
                <w:bCs/>
                <w:color w:val="000000"/>
                <w:kern w:val="0"/>
                <w:szCs w:val="21"/>
              </w:rPr>
              <w:t>）</w:t>
            </w:r>
          </w:p>
        </w:tc>
        <w:tc>
          <w:tcPr>
            <w:tcW w:w="1405" w:type="dxa"/>
            <w:vAlign w:val="center"/>
          </w:tcPr>
          <w:p>
            <w:pPr>
              <w:pStyle w:val="270"/>
              <w:widowControl/>
              <w:jc w:val="center"/>
              <w:rPr>
                <w:rFonts w:ascii="楷体" w:hAnsi="楷体" w:eastAsia="楷体"/>
                <w:b/>
                <w:bCs/>
                <w:color w:val="000000"/>
                <w:kern w:val="0"/>
                <w:szCs w:val="21"/>
              </w:rPr>
            </w:pPr>
            <w:r>
              <w:rPr>
                <w:rFonts w:hint="eastAsia" w:ascii="楷体" w:hAnsi="楷体" w:eastAsia="楷体"/>
                <w:b/>
                <w:bCs/>
                <w:color w:val="000000"/>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18" w:type="dxa"/>
            <w:vAlign w:val="center"/>
          </w:tcPr>
          <w:p>
            <w:pPr>
              <w:pStyle w:val="270"/>
              <w:widowControl/>
              <w:jc w:val="center"/>
              <w:rPr>
                <w:rFonts w:ascii="楷体" w:hAnsi="楷体" w:eastAsia="楷体"/>
                <w:color w:val="000000"/>
                <w:kern w:val="0"/>
                <w:szCs w:val="21"/>
              </w:rPr>
            </w:pPr>
            <w:r>
              <w:rPr>
                <w:rFonts w:hint="eastAsia" w:ascii="楷体" w:hAnsi="楷体" w:eastAsia="楷体"/>
                <w:color w:val="000000"/>
                <w:kern w:val="0"/>
                <w:szCs w:val="21"/>
              </w:rPr>
              <w:t>1</w:t>
            </w:r>
          </w:p>
        </w:tc>
        <w:tc>
          <w:tcPr>
            <w:tcW w:w="2673" w:type="dxa"/>
            <w:vAlign w:val="center"/>
          </w:tcPr>
          <w:p>
            <w:pPr>
              <w:pStyle w:val="270"/>
              <w:widowControl/>
              <w:jc w:val="center"/>
              <w:rPr>
                <w:rFonts w:ascii="楷体" w:hAnsi="楷体" w:eastAsia="楷体"/>
                <w:color w:val="000000"/>
                <w:kern w:val="0"/>
                <w:szCs w:val="21"/>
              </w:rPr>
            </w:pPr>
            <w:r>
              <w:rPr>
                <w:rFonts w:hint="eastAsia" w:ascii="楷体" w:hAnsi="楷体" w:eastAsia="楷体"/>
                <w:color w:val="000000"/>
                <w:kern w:val="0"/>
                <w:szCs w:val="21"/>
              </w:rPr>
              <w:t>国网四川成都供电公司变电检修工区</w:t>
            </w:r>
            <w:r>
              <w:rPr>
                <w:rFonts w:ascii="楷体" w:hAnsi="楷体" w:eastAsia="楷体"/>
                <w:color w:val="000000"/>
                <w:kern w:val="0"/>
                <w:szCs w:val="21"/>
              </w:rPr>
              <w:t>110kV金沙变电站等8座变电站大电流开关柜散热装置控制智能化专项整治服务</w:t>
            </w:r>
          </w:p>
        </w:tc>
        <w:tc>
          <w:tcPr>
            <w:tcW w:w="3732" w:type="dxa"/>
            <w:vAlign w:val="center"/>
          </w:tcPr>
          <w:p>
            <w:pPr>
              <w:pStyle w:val="270"/>
              <w:widowControl/>
              <w:jc w:val="center"/>
              <w:rPr>
                <w:rFonts w:ascii="楷体" w:hAnsi="楷体" w:eastAsia="楷体"/>
                <w:color w:val="000000"/>
                <w:kern w:val="0"/>
                <w:szCs w:val="21"/>
              </w:rPr>
            </w:pPr>
            <w:r>
              <w:rPr>
                <w:rFonts w:hint="eastAsia" w:ascii="楷体" w:hAnsi="楷体" w:eastAsia="楷体"/>
                <w:color w:val="000000"/>
                <w:kern w:val="0"/>
                <w:szCs w:val="21"/>
              </w:rPr>
              <w:t>199820</w:t>
            </w:r>
          </w:p>
        </w:tc>
        <w:tc>
          <w:tcPr>
            <w:tcW w:w="1405" w:type="dxa"/>
            <w:vAlign w:val="center"/>
          </w:tcPr>
          <w:p>
            <w:pPr>
              <w:pStyle w:val="270"/>
              <w:widowControl/>
              <w:jc w:val="right"/>
              <w:rPr>
                <w:rFonts w:ascii="楷体" w:hAnsi="楷体" w:eastAsia="楷体"/>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18" w:type="dxa"/>
            <w:vAlign w:val="center"/>
          </w:tcPr>
          <w:p>
            <w:pPr>
              <w:pStyle w:val="270"/>
              <w:widowControl/>
              <w:jc w:val="center"/>
              <w:rPr>
                <w:rFonts w:ascii="楷体" w:hAnsi="楷体" w:eastAsia="楷体"/>
                <w:color w:val="000000"/>
                <w:kern w:val="0"/>
                <w:szCs w:val="21"/>
              </w:rPr>
            </w:pPr>
            <w:r>
              <w:rPr>
                <w:rFonts w:hint="eastAsia" w:ascii="楷体" w:hAnsi="楷体" w:eastAsia="楷体"/>
                <w:color w:val="000000"/>
                <w:kern w:val="0"/>
                <w:szCs w:val="21"/>
              </w:rPr>
              <w:t>2</w:t>
            </w:r>
          </w:p>
        </w:tc>
        <w:tc>
          <w:tcPr>
            <w:tcW w:w="2673" w:type="dxa"/>
            <w:vAlign w:val="center"/>
          </w:tcPr>
          <w:p>
            <w:pPr>
              <w:pStyle w:val="270"/>
              <w:widowControl/>
              <w:jc w:val="center"/>
              <w:rPr>
                <w:rFonts w:ascii="楷体" w:hAnsi="楷体" w:eastAsia="楷体"/>
                <w:color w:val="000000"/>
                <w:kern w:val="0"/>
                <w:szCs w:val="21"/>
              </w:rPr>
            </w:pPr>
          </w:p>
        </w:tc>
        <w:tc>
          <w:tcPr>
            <w:tcW w:w="3732" w:type="dxa"/>
            <w:vAlign w:val="center"/>
          </w:tcPr>
          <w:p>
            <w:pPr>
              <w:pStyle w:val="270"/>
              <w:widowControl/>
              <w:jc w:val="right"/>
              <w:rPr>
                <w:rFonts w:ascii="楷体" w:hAnsi="楷体" w:eastAsia="楷体"/>
                <w:color w:val="000000"/>
                <w:kern w:val="0"/>
                <w:szCs w:val="21"/>
              </w:rPr>
            </w:pPr>
          </w:p>
        </w:tc>
        <w:tc>
          <w:tcPr>
            <w:tcW w:w="1405" w:type="dxa"/>
            <w:vAlign w:val="center"/>
          </w:tcPr>
          <w:p>
            <w:pPr>
              <w:pStyle w:val="270"/>
              <w:widowControl/>
              <w:jc w:val="right"/>
              <w:rPr>
                <w:rFonts w:ascii="楷体" w:hAnsi="楷体" w:eastAsia="楷体"/>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18" w:type="dxa"/>
            <w:vAlign w:val="center"/>
          </w:tcPr>
          <w:p>
            <w:pPr>
              <w:pStyle w:val="270"/>
              <w:widowControl/>
              <w:jc w:val="center"/>
              <w:rPr>
                <w:rFonts w:ascii="楷体" w:hAnsi="楷体" w:eastAsia="楷体"/>
                <w:color w:val="000000"/>
                <w:kern w:val="0"/>
                <w:szCs w:val="21"/>
              </w:rPr>
            </w:pPr>
            <w:r>
              <w:rPr>
                <w:rFonts w:hint="eastAsia" w:ascii="楷体" w:hAnsi="楷体" w:eastAsia="楷体"/>
                <w:color w:val="000000"/>
                <w:kern w:val="0"/>
                <w:szCs w:val="21"/>
              </w:rPr>
              <w:t>3</w:t>
            </w:r>
          </w:p>
        </w:tc>
        <w:tc>
          <w:tcPr>
            <w:tcW w:w="2673" w:type="dxa"/>
            <w:vAlign w:val="center"/>
          </w:tcPr>
          <w:p>
            <w:pPr>
              <w:pStyle w:val="270"/>
              <w:widowControl/>
              <w:jc w:val="center"/>
              <w:rPr>
                <w:rFonts w:ascii="楷体" w:hAnsi="楷体" w:eastAsia="楷体"/>
                <w:color w:val="000000"/>
                <w:kern w:val="0"/>
                <w:szCs w:val="21"/>
              </w:rPr>
            </w:pPr>
          </w:p>
        </w:tc>
        <w:tc>
          <w:tcPr>
            <w:tcW w:w="3732" w:type="dxa"/>
            <w:vAlign w:val="center"/>
          </w:tcPr>
          <w:p>
            <w:pPr>
              <w:pStyle w:val="270"/>
              <w:widowControl/>
              <w:jc w:val="center"/>
              <w:rPr>
                <w:rFonts w:ascii="楷体" w:hAnsi="楷体" w:eastAsia="楷体"/>
                <w:color w:val="000000"/>
                <w:kern w:val="0"/>
                <w:szCs w:val="21"/>
              </w:rPr>
            </w:pPr>
          </w:p>
        </w:tc>
        <w:tc>
          <w:tcPr>
            <w:tcW w:w="1405" w:type="dxa"/>
            <w:vAlign w:val="center"/>
          </w:tcPr>
          <w:p>
            <w:pPr>
              <w:pStyle w:val="270"/>
              <w:widowControl/>
              <w:jc w:val="right"/>
              <w:rPr>
                <w:rFonts w:ascii="楷体" w:hAnsi="楷体" w:eastAsia="楷体"/>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18" w:type="dxa"/>
            <w:vAlign w:val="center"/>
          </w:tcPr>
          <w:p>
            <w:pPr>
              <w:pStyle w:val="270"/>
              <w:widowControl/>
              <w:jc w:val="center"/>
              <w:rPr>
                <w:rFonts w:ascii="楷体" w:hAnsi="楷体" w:eastAsia="楷体"/>
                <w:color w:val="000000"/>
                <w:kern w:val="0"/>
                <w:szCs w:val="21"/>
              </w:rPr>
            </w:pPr>
            <w:r>
              <w:rPr>
                <w:rFonts w:hint="eastAsia" w:ascii="楷体" w:hAnsi="楷体" w:eastAsia="楷体"/>
                <w:color w:val="000000"/>
                <w:kern w:val="0"/>
                <w:szCs w:val="21"/>
              </w:rPr>
              <w:t>4</w:t>
            </w:r>
          </w:p>
        </w:tc>
        <w:tc>
          <w:tcPr>
            <w:tcW w:w="2673" w:type="dxa"/>
            <w:vAlign w:val="center"/>
          </w:tcPr>
          <w:p>
            <w:pPr>
              <w:pStyle w:val="270"/>
              <w:widowControl/>
              <w:jc w:val="center"/>
              <w:rPr>
                <w:rFonts w:ascii="楷体" w:hAnsi="楷体" w:eastAsia="楷体"/>
                <w:color w:val="000000"/>
                <w:kern w:val="0"/>
                <w:szCs w:val="21"/>
              </w:rPr>
            </w:pPr>
          </w:p>
        </w:tc>
        <w:tc>
          <w:tcPr>
            <w:tcW w:w="3732" w:type="dxa"/>
            <w:vAlign w:val="center"/>
          </w:tcPr>
          <w:p>
            <w:pPr>
              <w:pStyle w:val="270"/>
              <w:widowControl/>
              <w:jc w:val="center"/>
              <w:rPr>
                <w:rFonts w:ascii="楷体" w:hAnsi="楷体" w:eastAsia="楷体"/>
                <w:color w:val="000000"/>
                <w:kern w:val="0"/>
                <w:szCs w:val="21"/>
              </w:rPr>
            </w:pPr>
          </w:p>
        </w:tc>
        <w:tc>
          <w:tcPr>
            <w:tcW w:w="1405" w:type="dxa"/>
            <w:vAlign w:val="center"/>
          </w:tcPr>
          <w:p>
            <w:pPr>
              <w:pStyle w:val="270"/>
              <w:widowControl/>
              <w:jc w:val="right"/>
              <w:rPr>
                <w:rFonts w:ascii="楷体" w:hAnsi="楷体" w:eastAsia="楷体"/>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18" w:type="dxa"/>
            <w:vAlign w:val="center"/>
          </w:tcPr>
          <w:p>
            <w:pPr>
              <w:pStyle w:val="270"/>
              <w:widowControl/>
              <w:jc w:val="center"/>
              <w:rPr>
                <w:rFonts w:ascii="楷体" w:hAnsi="楷体" w:eastAsia="楷体"/>
                <w:color w:val="000000"/>
                <w:kern w:val="0"/>
                <w:szCs w:val="21"/>
              </w:rPr>
            </w:pPr>
            <w:r>
              <w:rPr>
                <w:rFonts w:hint="eastAsia" w:ascii="楷体" w:hAnsi="楷体" w:eastAsia="楷体"/>
                <w:color w:val="000000"/>
                <w:kern w:val="0"/>
                <w:szCs w:val="21"/>
              </w:rPr>
              <w:t>...</w:t>
            </w:r>
          </w:p>
        </w:tc>
        <w:tc>
          <w:tcPr>
            <w:tcW w:w="2673" w:type="dxa"/>
            <w:vAlign w:val="center"/>
          </w:tcPr>
          <w:p>
            <w:pPr>
              <w:pStyle w:val="270"/>
              <w:widowControl/>
              <w:jc w:val="center"/>
              <w:rPr>
                <w:rFonts w:ascii="楷体" w:hAnsi="楷体" w:eastAsia="楷体"/>
                <w:color w:val="000000"/>
                <w:kern w:val="0"/>
                <w:szCs w:val="21"/>
              </w:rPr>
            </w:pPr>
          </w:p>
        </w:tc>
        <w:tc>
          <w:tcPr>
            <w:tcW w:w="3732" w:type="dxa"/>
            <w:vAlign w:val="center"/>
          </w:tcPr>
          <w:p>
            <w:pPr>
              <w:pStyle w:val="270"/>
              <w:widowControl/>
              <w:jc w:val="right"/>
              <w:rPr>
                <w:rFonts w:ascii="楷体" w:hAnsi="楷体" w:eastAsia="楷体"/>
                <w:color w:val="000000"/>
                <w:kern w:val="0"/>
                <w:szCs w:val="21"/>
              </w:rPr>
            </w:pPr>
          </w:p>
        </w:tc>
        <w:tc>
          <w:tcPr>
            <w:tcW w:w="1405" w:type="dxa"/>
            <w:vAlign w:val="center"/>
          </w:tcPr>
          <w:p>
            <w:pPr>
              <w:pStyle w:val="270"/>
              <w:widowControl/>
              <w:jc w:val="right"/>
              <w:rPr>
                <w:rFonts w:ascii="楷体" w:hAnsi="楷体" w:eastAsia="楷体"/>
                <w:color w:val="00000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1" w:type="dxa"/>
            <w:gridSpan w:val="2"/>
            <w:vMerge w:val="restart"/>
            <w:vAlign w:val="center"/>
          </w:tcPr>
          <w:p>
            <w:pPr>
              <w:pStyle w:val="270"/>
              <w:widowControl/>
              <w:jc w:val="center"/>
              <w:rPr>
                <w:rFonts w:ascii="楷体" w:hAnsi="楷体" w:eastAsia="楷体"/>
                <w:b/>
                <w:bCs/>
                <w:color w:val="000000"/>
                <w:kern w:val="0"/>
                <w:szCs w:val="21"/>
              </w:rPr>
            </w:pPr>
            <w:r>
              <w:rPr>
                <w:rFonts w:hint="eastAsia" w:ascii="楷体" w:hAnsi="楷体" w:eastAsia="楷体"/>
                <w:b/>
                <w:bCs/>
                <w:color w:val="000000"/>
                <w:kern w:val="0"/>
                <w:sz w:val="24"/>
                <w:szCs w:val="21"/>
              </w:rPr>
              <w:t>报价总金额（含增值税）</w:t>
            </w:r>
          </w:p>
        </w:tc>
        <w:tc>
          <w:tcPr>
            <w:tcW w:w="5137" w:type="dxa"/>
            <w:gridSpan w:val="2"/>
            <w:vAlign w:val="center"/>
          </w:tcPr>
          <w:p>
            <w:pPr>
              <w:pStyle w:val="270"/>
              <w:widowControl/>
              <w:jc w:val="left"/>
              <w:rPr>
                <w:rFonts w:ascii="楷体" w:hAnsi="楷体" w:eastAsia="楷体"/>
                <w:b/>
                <w:bCs/>
                <w:color w:val="000000"/>
                <w:kern w:val="0"/>
                <w:szCs w:val="21"/>
              </w:rPr>
            </w:pPr>
            <w:r>
              <w:rPr>
                <w:rFonts w:hint="eastAsia" w:ascii="楷体" w:hAnsi="楷体" w:eastAsia="楷体"/>
                <w:b/>
                <w:bCs/>
                <w:color w:val="000000"/>
                <w:szCs w:val="21"/>
              </w:rPr>
              <w:t>金额（小写）：</w:t>
            </w:r>
            <w:r>
              <w:rPr>
                <w:rFonts w:hint="eastAsia" w:ascii="楷体" w:hAnsi="楷体" w:eastAsia="楷体"/>
                <w:b/>
                <w:bCs/>
                <w:color w:val="000000"/>
                <w:szCs w:val="21"/>
                <w:u w:val="single"/>
              </w:rPr>
              <w:t xml:space="preserve">   199820       </w:t>
            </w:r>
            <w:r>
              <w:rPr>
                <w:rFonts w:hint="eastAsia" w:ascii="楷体" w:hAnsi="楷体" w:eastAsia="楷体"/>
                <w:b/>
                <w:bCs/>
                <w:color w:val="000000"/>
                <w:szCs w:val="21"/>
              </w:rPr>
              <w:t>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391" w:type="dxa"/>
            <w:gridSpan w:val="2"/>
            <w:vMerge w:val="continue"/>
            <w:vAlign w:val="center"/>
          </w:tcPr>
          <w:p>
            <w:pPr>
              <w:pStyle w:val="270"/>
              <w:widowControl/>
              <w:jc w:val="left"/>
              <w:rPr>
                <w:rFonts w:ascii="楷体" w:hAnsi="楷体" w:eastAsia="楷体"/>
                <w:b/>
                <w:bCs/>
                <w:color w:val="000000"/>
              </w:rPr>
            </w:pPr>
          </w:p>
        </w:tc>
        <w:tc>
          <w:tcPr>
            <w:tcW w:w="5137" w:type="dxa"/>
            <w:gridSpan w:val="2"/>
            <w:vAlign w:val="center"/>
          </w:tcPr>
          <w:p>
            <w:pPr>
              <w:pStyle w:val="270"/>
              <w:widowControl/>
              <w:jc w:val="left"/>
              <w:rPr>
                <w:rFonts w:ascii="楷体" w:hAnsi="楷体" w:eastAsia="楷体"/>
                <w:b/>
                <w:bCs/>
                <w:color w:val="000000"/>
              </w:rPr>
            </w:pPr>
            <w:commentRangeStart w:id="0"/>
            <w:r>
              <w:rPr>
                <w:rFonts w:ascii="楷体" w:hAnsi="楷体" w:eastAsia="楷体"/>
                <w:b/>
                <w:bCs/>
                <w:color w:val="000000"/>
                <w:szCs w:val="21"/>
              </w:rPr>
              <w:t>金额（大写）</w:t>
            </w:r>
            <w:commentRangeEnd w:id="0"/>
            <w:r>
              <w:rPr>
                <w:rStyle w:val="56"/>
                <w:rFonts w:asciiTheme="minorHAnsi" w:hAnsiTheme="minorHAnsi" w:cstheme="minorBidi"/>
                <w:szCs w:val="22"/>
              </w:rPr>
              <w:commentReference w:id="0"/>
            </w:r>
            <w:r>
              <w:rPr>
                <w:rFonts w:hint="eastAsia" w:ascii="楷体" w:hAnsi="楷体" w:eastAsia="楷体"/>
                <w:b/>
                <w:bCs/>
                <w:color w:val="000000"/>
                <w:szCs w:val="21"/>
              </w:rPr>
              <w:t>：</w:t>
            </w:r>
            <w:r>
              <w:rPr>
                <w:rFonts w:hint="eastAsia" w:ascii="楷体" w:hAnsi="楷体" w:eastAsia="楷体"/>
                <w:b/>
                <w:bCs/>
                <w:color w:val="000000"/>
                <w:szCs w:val="21"/>
                <w:u w:val="single"/>
              </w:rPr>
              <w:t xml:space="preserve">                    </w:t>
            </w:r>
            <w:r>
              <w:rPr>
                <w:rFonts w:hint="eastAsia" w:ascii="楷体" w:hAnsi="楷体" w:eastAsia="楷体"/>
                <w:b/>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391" w:type="dxa"/>
            <w:gridSpan w:val="2"/>
            <w:vMerge w:val="restart"/>
            <w:vAlign w:val="center"/>
          </w:tcPr>
          <w:p>
            <w:pPr>
              <w:pStyle w:val="270"/>
              <w:widowControl/>
              <w:jc w:val="center"/>
              <w:rPr>
                <w:rFonts w:ascii="楷体" w:hAnsi="楷体" w:eastAsia="楷体"/>
                <w:b/>
                <w:bCs/>
                <w:color w:val="000000"/>
              </w:rPr>
            </w:pPr>
            <w:r>
              <w:rPr>
                <w:rFonts w:hint="eastAsia" w:ascii="楷体" w:hAnsi="楷体" w:eastAsia="楷体"/>
                <w:b/>
                <w:bCs/>
                <w:color w:val="000000"/>
                <w:kern w:val="0"/>
                <w:sz w:val="24"/>
                <w:szCs w:val="21"/>
              </w:rPr>
              <w:t>报价总金额（不含增值税）</w:t>
            </w:r>
          </w:p>
        </w:tc>
        <w:tc>
          <w:tcPr>
            <w:tcW w:w="5137" w:type="dxa"/>
            <w:gridSpan w:val="2"/>
            <w:vAlign w:val="center"/>
          </w:tcPr>
          <w:p>
            <w:pPr>
              <w:pStyle w:val="270"/>
              <w:widowControl/>
              <w:jc w:val="left"/>
              <w:rPr>
                <w:rFonts w:ascii="楷体" w:hAnsi="楷体" w:eastAsia="楷体"/>
                <w:b/>
                <w:bCs/>
                <w:color w:val="000000"/>
                <w:szCs w:val="21"/>
              </w:rPr>
            </w:pPr>
            <w:r>
              <w:rPr>
                <w:rFonts w:hint="eastAsia" w:ascii="楷体" w:hAnsi="楷体" w:eastAsia="楷体"/>
                <w:b/>
                <w:bCs/>
                <w:color w:val="000000"/>
                <w:szCs w:val="21"/>
              </w:rPr>
              <w:t>金额（小写）：</w:t>
            </w:r>
            <w:r>
              <w:rPr>
                <w:rFonts w:hint="eastAsia" w:ascii="楷体" w:hAnsi="楷体" w:eastAsia="楷体"/>
                <w:b/>
                <w:bCs/>
                <w:color w:val="000000"/>
                <w:szCs w:val="21"/>
                <w:u w:val="single"/>
              </w:rPr>
              <w:t xml:space="preserve">    194000   </w:t>
            </w:r>
            <w:r>
              <w:rPr>
                <w:rFonts w:hint="eastAsia" w:ascii="楷体" w:hAnsi="楷体" w:eastAsia="楷体"/>
                <w:b/>
                <w:bCs/>
                <w:color w:val="000000"/>
                <w:szCs w:val="21"/>
              </w:rPr>
              <w:t>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391" w:type="dxa"/>
            <w:gridSpan w:val="2"/>
            <w:vMerge w:val="continue"/>
            <w:vAlign w:val="center"/>
          </w:tcPr>
          <w:p>
            <w:pPr>
              <w:pStyle w:val="270"/>
              <w:widowControl/>
              <w:jc w:val="left"/>
              <w:rPr>
                <w:rFonts w:ascii="楷体" w:hAnsi="楷体" w:eastAsia="楷体"/>
                <w:b/>
                <w:bCs/>
                <w:color w:val="000000"/>
              </w:rPr>
            </w:pPr>
          </w:p>
        </w:tc>
        <w:tc>
          <w:tcPr>
            <w:tcW w:w="5137" w:type="dxa"/>
            <w:gridSpan w:val="2"/>
            <w:vAlign w:val="center"/>
          </w:tcPr>
          <w:p>
            <w:pPr>
              <w:pStyle w:val="270"/>
              <w:widowControl/>
              <w:jc w:val="left"/>
              <w:rPr>
                <w:rFonts w:ascii="楷体" w:hAnsi="楷体" w:eastAsia="楷体"/>
                <w:b/>
                <w:bCs/>
                <w:color w:val="000000"/>
                <w:szCs w:val="21"/>
              </w:rPr>
            </w:pPr>
            <w:r>
              <w:rPr>
                <w:rFonts w:ascii="楷体" w:hAnsi="楷体" w:eastAsia="楷体"/>
                <w:b/>
                <w:bCs/>
                <w:color w:val="000000"/>
                <w:szCs w:val="21"/>
              </w:rPr>
              <w:t>金额（大写）</w:t>
            </w:r>
            <w:r>
              <w:rPr>
                <w:rFonts w:hint="eastAsia" w:ascii="楷体" w:hAnsi="楷体" w:eastAsia="楷体"/>
                <w:b/>
                <w:bCs/>
                <w:color w:val="000000"/>
                <w:szCs w:val="21"/>
              </w:rPr>
              <w:t>：</w:t>
            </w:r>
            <w:r>
              <w:rPr>
                <w:rFonts w:hint="eastAsia" w:ascii="楷体" w:hAnsi="楷体" w:eastAsia="楷体"/>
                <w:b/>
                <w:bCs/>
                <w:color w:val="000000"/>
                <w:szCs w:val="21"/>
                <w:u w:val="single"/>
              </w:rPr>
              <w:t xml:space="preserve">                    </w:t>
            </w:r>
            <w:r>
              <w:rPr>
                <w:rFonts w:hint="eastAsia" w:ascii="楷体" w:hAnsi="楷体" w:eastAsia="楷体"/>
                <w:b/>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391" w:type="dxa"/>
            <w:gridSpan w:val="2"/>
            <w:vAlign w:val="center"/>
          </w:tcPr>
          <w:p>
            <w:pPr>
              <w:pStyle w:val="270"/>
              <w:widowControl/>
              <w:jc w:val="center"/>
              <w:rPr>
                <w:rFonts w:ascii="楷体" w:hAnsi="楷体" w:eastAsia="楷体"/>
                <w:b/>
                <w:bCs/>
                <w:color w:val="000000"/>
              </w:rPr>
            </w:pPr>
            <w:r>
              <w:rPr>
                <w:rFonts w:hint="eastAsia" w:ascii="楷体" w:hAnsi="楷体" w:eastAsia="楷体"/>
                <w:b/>
                <w:bCs/>
                <w:color w:val="000000"/>
              </w:rPr>
              <w:t>增值税税率（%）</w:t>
            </w:r>
          </w:p>
        </w:tc>
        <w:tc>
          <w:tcPr>
            <w:tcW w:w="5137" w:type="dxa"/>
            <w:gridSpan w:val="2"/>
            <w:vAlign w:val="center"/>
          </w:tcPr>
          <w:p>
            <w:pPr>
              <w:pStyle w:val="270"/>
              <w:widowControl/>
              <w:jc w:val="center"/>
              <w:rPr>
                <w:rFonts w:ascii="楷体" w:hAnsi="楷体" w:eastAsia="楷体"/>
                <w:b/>
                <w:bCs/>
                <w:color w:val="000000"/>
                <w:szCs w:val="21"/>
              </w:rPr>
            </w:pPr>
            <w:r>
              <w:rPr>
                <w:rFonts w:hint="eastAsia" w:ascii="楷体" w:hAnsi="楷体" w:eastAsia="楷体"/>
                <w:b/>
                <w:bCs/>
                <w:color w:val="000000"/>
                <w:szCs w:val="21"/>
              </w:rPr>
              <w:t>3</w:t>
            </w:r>
          </w:p>
        </w:tc>
      </w:tr>
    </w:tbl>
    <w:p>
      <w:pPr>
        <w:pStyle w:val="309"/>
        <w:adjustRightInd w:val="0"/>
        <w:jc w:val="left"/>
        <w:rPr>
          <w:rFonts w:ascii="楷体" w:hAnsi="楷体" w:eastAsia="楷体"/>
        </w:rPr>
      </w:pPr>
      <w:r>
        <w:rPr>
          <w:rFonts w:hint="eastAsia" w:ascii="楷体" w:hAnsi="楷体" w:eastAsia="楷体"/>
        </w:rPr>
        <w:t>说明：</w:t>
      </w:r>
    </w:p>
    <w:p>
      <w:pPr>
        <w:pStyle w:val="309"/>
        <w:adjustRightInd w:val="0"/>
        <w:jc w:val="left"/>
        <w:rPr>
          <w:rFonts w:ascii="楷体" w:hAnsi="楷体" w:eastAsia="楷体" w:cs="楷体"/>
          <w:b/>
          <w:bCs/>
          <w:color w:val="000000"/>
          <w:szCs w:val="21"/>
        </w:rPr>
      </w:pPr>
      <w:r>
        <w:rPr>
          <w:rFonts w:hint="eastAsia" w:ascii="楷体" w:hAnsi="楷体" w:eastAsia="楷体" w:cs="楷体"/>
          <w:b/>
          <w:bCs/>
          <w:color w:val="000000"/>
          <w:szCs w:val="21"/>
        </w:rPr>
        <w:sym w:font="Wingdings" w:char="F081"/>
      </w:r>
      <w:r>
        <w:rPr>
          <w:rFonts w:hint="eastAsia" w:ascii="楷体" w:hAnsi="楷体" w:eastAsia="楷体" w:cs="楷体"/>
          <w:b/>
          <w:bCs/>
          <w:color w:val="000000"/>
          <w:szCs w:val="21"/>
        </w:rPr>
        <w:t>此表的采购编号必须与应答函的完全一致，并与应答函同时提交。</w:t>
      </w:r>
    </w:p>
    <w:p>
      <w:pPr>
        <w:pStyle w:val="309"/>
        <w:adjustRightInd w:val="0"/>
        <w:jc w:val="left"/>
        <w:rPr>
          <w:rFonts w:ascii="楷体" w:hAnsi="楷体" w:eastAsia="楷体" w:cs="楷体"/>
          <w:b/>
          <w:color w:val="000000"/>
        </w:rPr>
      </w:pPr>
      <w:r>
        <w:rPr>
          <w:rFonts w:hint="eastAsia" w:ascii="楷体" w:hAnsi="楷体" w:eastAsia="楷体" w:cs="楷体"/>
          <w:b/>
          <w:bCs/>
          <w:color w:val="000000"/>
          <w:szCs w:val="21"/>
        </w:rPr>
        <w:sym w:font="Wingdings" w:char="F082"/>
      </w:r>
      <w:r>
        <w:rPr>
          <w:rFonts w:hint="eastAsia" w:ascii="楷体" w:hAnsi="楷体" w:eastAsia="楷体" w:cs="楷体"/>
          <w:b/>
          <w:bCs/>
          <w:color w:val="000000"/>
          <w:szCs w:val="21"/>
        </w:rPr>
        <w:t>本表对应的项目</w:t>
      </w:r>
      <w:r>
        <w:rPr>
          <w:rFonts w:hint="eastAsia" w:ascii="楷体" w:hAnsi="楷体" w:eastAsia="楷体" w:cs="楷体"/>
          <w:b/>
          <w:color w:val="000000"/>
        </w:rPr>
        <w:t>是指采购公告附件“采购需求一览表”中同一项目包含的所有项目。</w:t>
      </w:r>
    </w:p>
    <w:p>
      <w:pPr>
        <w:pStyle w:val="309"/>
        <w:adjustRightInd w:val="0"/>
        <w:jc w:val="left"/>
        <w:rPr>
          <w:rFonts w:ascii="楷体" w:hAnsi="楷体" w:eastAsia="楷体" w:cs="楷体"/>
          <w:b/>
          <w:color w:val="000000"/>
        </w:rPr>
      </w:pPr>
      <w:r>
        <w:rPr>
          <w:rFonts w:hint="eastAsia" w:ascii="楷体" w:hAnsi="楷体" w:eastAsia="楷体" w:cs="楷体"/>
          <w:b/>
          <w:color w:val="000000"/>
        </w:rPr>
        <w:sym w:font="Wingdings" w:char="F083"/>
      </w:r>
      <w:r>
        <w:rPr>
          <w:rFonts w:hint="eastAsia" w:ascii="楷体" w:hAnsi="楷体" w:eastAsia="楷体" w:cs="楷体"/>
          <w:b/>
          <w:color w:val="000000"/>
        </w:rPr>
        <w:t>应答人所投项目只有一个子项目时直接把报价填报到“报价总金额”处即可。应答人所投项目含有两个及以上子项目时，必须报出各个子项目的金额然后汇总为报价总金额。应答人的最终报价不得超过最高限价（如有），否则视为无效应答。</w:t>
      </w:r>
    </w:p>
    <w:p>
      <w:pPr>
        <w:pStyle w:val="309"/>
        <w:adjustRightInd w:val="0"/>
        <w:jc w:val="left"/>
        <w:rPr>
          <w:rFonts w:ascii="楷体" w:hAnsi="楷体" w:eastAsia="楷体"/>
          <w:b/>
        </w:rPr>
      </w:pPr>
      <w:r>
        <w:rPr>
          <w:rFonts w:hint="eastAsia" w:ascii="楷体" w:hAnsi="楷体" w:eastAsia="楷体" w:cs="楷体"/>
          <w:b/>
        </w:rPr>
        <w:t>④</w:t>
      </w:r>
      <w:r>
        <w:rPr>
          <w:rFonts w:hint="eastAsia" w:ascii="楷体" w:hAnsi="楷体" w:eastAsia="楷体"/>
          <w:b/>
        </w:rPr>
        <w:t>评审中以各应答人不含增值税实得价进行价格评审。</w:t>
      </w:r>
    </w:p>
    <w:p>
      <w:pPr>
        <w:pStyle w:val="309"/>
        <w:adjustRightInd w:val="0"/>
        <w:jc w:val="left"/>
        <w:rPr>
          <w:rFonts w:ascii="楷体" w:hAnsi="楷体" w:eastAsia="楷体"/>
          <w:b/>
          <w:szCs w:val="22"/>
        </w:rPr>
      </w:pPr>
      <w:r>
        <w:rPr>
          <w:rFonts w:hint="eastAsia" w:ascii="楷体" w:hAnsi="楷体" w:eastAsia="楷体" w:cs="楷体"/>
          <w:b/>
        </w:rPr>
        <w:t>⑤</w:t>
      </w:r>
      <w:r>
        <w:rPr>
          <w:rFonts w:hint="eastAsia" w:ascii="楷体" w:hAnsi="楷体" w:eastAsia="楷体"/>
          <w:b/>
        </w:rPr>
        <w:t>报价应同时报出含增值税价、不含增值税价、以及增值税率, 换算公</w:t>
      </w:r>
      <w:commentRangeStart w:id="1"/>
      <w:r>
        <w:rPr>
          <w:rFonts w:hint="eastAsia" w:ascii="楷体" w:hAnsi="楷体" w:eastAsia="楷体"/>
          <w:b/>
        </w:rPr>
        <w:t>式为含增值税价=不含增值</w:t>
      </w:r>
      <w:r>
        <w:rPr>
          <w:rFonts w:hint="eastAsia" w:ascii="楷体" w:hAnsi="楷体" w:eastAsia="楷体"/>
          <w:b/>
          <w:szCs w:val="22"/>
        </w:rPr>
        <w:t>税价*(1+增值税率),如公式换算后金额不一致，视为报价无效。</w:t>
      </w:r>
      <w:commentRangeEnd w:id="1"/>
      <w:r>
        <w:rPr>
          <w:rStyle w:val="56"/>
          <w:rFonts w:asciiTheme="minorHAnsi" w:hAnsiTheme="minorHAnsi" w:cstheme="minorBidi"/>
          <w:szCs w:val="22"/>
        </w:rPr>
        <w:commentReference w:id="1"/>
      </w:r>
    </w:p>
    <w:p>
      <w:pPr>
        <w:pStyle w:val="309"/>
        <w:adjustRightInd w:val="0"/>
        <w:jc w:val="left"/>
        <w:rPr>
          <w:rFonts w:ascii="楷体" w:hAnsi="楷体" w:eastAsia="楷体"/>
          <w:b/>
          <w:szCs w:val="22"/>
        </w:rPr>
      </w:pPr>
      <w:r>
        <w:rPr>
          <w:rFonts w:hint="eastAsia" w:ascii="楷体" w:hAnsi="楷体" w:eastAsia="楷体" w:cs="楷体"/>
          <w:b/>
          <w:szCs w:val="22"/>
        </w:rPr>
        <w:t>⑥</w:t>
      </w:r>
      <w:r>
        <w:rPr>
          <w:rFonts w:hint="eastAsia" w:ascii="楷体" w:hAnsi="楷体" w:eastAsia="楷体" w:cs="楷体"/>
          <w:b/>
        </w:rPr>
        <w:t>报价</w:t>
      </w:r>
      <w:r>
        <w:rPr>
          <w:rFonts w:hint="eastAsia" w:ascii="楷体" w:hAnsi="楷体" w:eastAsia="楷体"/>
          <w:b/>
          <w:szCs w:val="22"/>
        </w:rPr>
        <w:t>精确</w:t>
      </w:r>
      <w:r>
        <w:rPr>
          <w:rFonts w:ascii="楷体" w:hAnsi="楷体" w:eastAsia="楷体"/>
          <w:b/>
          <w:szCs w:val="22"/>
        </w:rPr>
        <w:t>到小数</w:t>
      </w:r>
      <w:r>
        <w:rPr>
          <w:rFonts w:hint="eastAsia" w:ascii="楷体" w:hAnsi="楷体" w:eastAsia="楷体"/>
          <w:b/>
          <w:szCs w:val="22"/>
        </w:rPr>
        <w:t>点</w:t>
      </w:r>
      <w:r>
        <w:rPr>
          <w:rFonts w:ascii="楷体" w:hAnsi="楷体" w:eastAsia="楷体"/>
          <w:b/>
          <w:szCs w:val="22"/>
        </w:rPr>
        <w:t>后两</w:t>
      </w:r>
      <w:r>
        <w:rPr>
          <w:rFonts w:hint="eastAsia" w:ascii="楷体" w:hAnsi="楷体" w:eastAsia="楷体"/>
          <w:b/>
          <w:szCs w:val="22"/>
        </w:rPr>
        <w:t>位。</w:t>
      </w:r>
    </w:p>
    <w:p>
      <w:pPr>
        <w:pStyle w:val="265"/>
        <w:rPr>
          <w:rFonts w:ascii="楷体" w:hAnsi="楷体" w:eastAsia="楷体"/>
        </w:rPr>
      </w:pPr>
    </w:p>
    <w:p>
      <w:pPr>
        <w:pStyle w:val="259"/>
        <w:ind w:firstLine="420"/>
        <w:jc w:val="right"/>
        <w:rPr>
          <w:rFonts w:ascii="楷体" w:hAnsi="楷体" w:eastAsia="楷体"/>
        </w:rPr>
      </w:pPr>
      <w:r>
        <w:rPr>
          <w:rFonts w:hint="eastAsia" w:ascii="楷体" w:hAnsi="楷体" w:eastAsia="楷体"/>
        </w:rPr>
        <w:t>法定代表人或授权代表签字：____________</w:t>
      </w:r>
    </w:p>
    <w:p>
      <w:pPr>
        <w:pStyle w:val="259"/>
        <w:ind w:firstLine="420"/>
        <w:jc w:val="right"/>
        <w:rPr>
          <w:rFonts w:ascii="楷体" w:hAnsi="楷体" w:eastAsia="楷体"/>
        </w:rPr>
      </w:pPr>
      <w:r>
        <w:rPr>
          <w:rFonts w:hint="eastAsia" w:ascii="楷体" w:hAnsi="楷体" w:eastAsia="楷体"/>
        </w:rPr>
        <w:t>应答人公章：_</w:t>
      </w:r>
      <w:r>
        <w:rPr>
          <w:rFonts w:hint="eastAsia" w:ascii="楷体" w:hAnsi="楷体" w:eastAsia="楷体"/>
          <w:u w:val="single"/>
        </w:rPr>
        <w:t>_四川大学</w:t>
      </w:r>
      <w:r>
        <w:rPr>
          <w:rFonts w:hint="eastAsia" w:ascii="楷体" w:hAnsi="楷体" w:eastAsia="楷体"/>
        </w:rPr>
        <w:t>__________</w:t>
      </w:r>
    </w:p>
    <w:p>
      <w:pPr>
        <w:pStyle w:val="259"/>
        <w:ind w:firstLine="420"/>
        <w:jc w:val="right"/>
        <w:rPr>
          <w:rFonts w:ascii="楷体" w:hAnsi="楷体" w:eastAsia="楷体"/>
        </w:rPr>
      </w:pPr>
    </w:p>
    <w:p>
      <w:pPr>
        <w:pStyle w:val="259"/>
        <w:ind w:firstLine="420"/>
        <w:jc w:val="right"/>
        <w:rPr>
          <w:rFonts w:ascii="楷体" w:hAnsi="楷体" w:eastAsia="楷体"/>
        </w:rPr>
      </w:pPr>
    </w:p>
    <w:p>
      <w:pPr>
        <w:pStyle w:val="2"/>
        <w:outlineLvl w:val="1"/>
      </w:pPr>
      <w:r>
        <w:rPr>
          <w:rFonts w:hint="eastAsia"/>
        </w:rPr>
        <w:t>二、应答保证金承诺函(本次无)</w:t>
      </w:r>
    </w:p>
    <w:p>
      <w:pPr>
        <w:pStyle w:val="2"/>
        <w:outlineLvl w:val="1"/>
      </w:pPr>
      <w:r>
        <w:rPr>
          <w:rFonts w:hint="eastAsia"/>
          <w:highlight w:val="yellow"/>
        </w:rPr>
        <w:t>三、报价单</w:t>
      </w:r>
    </w:p>
    <w:p>
      <w:pPr>
        <w:pStyle w:val="3"/>
        <w:outlineLvl w:val="2"/>
      </w:pPr>
      <w:r>
        <w:rPr>
          <w:rFonts w:hint="eastAsia"/>
        </w:rPr>
        <w:t>1、报价范围</w:t>
      </w:r>
    </w:p>
    <w:p>
      <w:pPr>
        <w:pStyle w:val="87"/>
        <w:spacing w:line="400" w:lineRule="exact"/>
        <w:ind w:firstLine="420"/>
        <w:rPr>
          <w:rFonts w:ascii="楷体" w:hAnsi="楷体" w:eastAsia="楷体"/>
        </w:rPr>
      </w:pPr>
      <w:r>
        <w:rPr>
          <w:rFonts w:ascii="楷体" w:hAnsi="楷体" w:eastAsia="楷体"/>
        </w:rPr>
        <w:t>报价中，应包括本</w:t>
      </w:r>
      <w:r>
        <w:rPr>
          <w:rFonts w:hint="eastAsia" w:ascii="楷体" w:hAnsi="楷体" w:eastAsia="楷体"/>
        </w:rPr>
        <w:t>采购</w:t>
      </w:r>
      <w:r>
        <w:rPr>
          <w:rFonts w:ascii="楷体" w:hAnsi="楷体" w:eastAsia="楷体"/>
        </w:rPr>
        <w:t>文件和国家收费标准</w:t>
      </w:r>
      <w:r>
        <w:rPr>
          <w:rFonts w:hint="eastAsia" w:ascii="楷体" w:hAnsi="楷体" w:eastAsia="楷体"/>
        </w:rPr>
        <w:t>（如有）</w:t>
      </w:r>
      <w:r>
        <w:rPr>
          <w:rFonts w:ascii="楷体" w:hAnsi="楷体" w:eastAsia="楷体"/>
        </w:rPr>
        <w:t>中规定的全部工作范围，报价</w:t>
      </w:r>
      <w:r>
        <w:rPr>
          <w:rFonts w:hint="eastAsia" w:ascii="楷体" w:hAnsi="楷体" w:eastAsia="楷体"/>
        </w:rPr>
        <w:t>单</w:t>
      </w:r>
      <w:r>
        <w:rPr>
          <w:rFonts w:ascii="楷体" w:hAnsi="楷体" w:eastAsia="楷体"/>
        </w:rPr>
        <w:t>中还应包括本</w:t>
      </w:r>
      <w:r>
        <w:rPr>
          <w:rFonts w:hint="eastAsia" w:ascii="楷体" w:hAnsi="楷体" w:eastAsia="楷体"/>
        </w:rPr>
        <w:t>采购</w:t>
      </w:r>
      <w:r>
        <w:rPr>
          <w:rFonts w:ascii="楷体" w:hAnsi="楷体" w:eastAsia="楷体"/>
        </w:rPr>
        <w:t>文件要求的其他服务范围的报价</w:t>
      </w:r>
      <w:r>
        <w:rPr>
          <w:rFonts w:hint="eastAsia" w:ascii="楷体" w:hAnsi="楷体" w:eastAsia="楷体"/>
        </w:rPr>
        <w:t>，</w:t>
      </w:r>
      <w:r>
        <w:rPr>
          <w:rFonts w:ascii="楷体" w:hAnsi="楷体" w:eastAsia="楷体"/>
        </w:rPr>
        <w:t>同时也包括可能发生的额外服务的计时费用单价。一旦</w:t>
      </w:r>
      <w:r>
        <w:rPr>
          <w:rFonts w:hint="eastAsia" w:ascii="楷体" w:hAnsi="楷体" w:eastAsia="楷体"/>
        </w:rPr>
        <w:t>被确定为成交供应商</w:t>
      </w:r>
      <w:r>
        <w:rPr>
          <w:rFonts w:ascii="楷体" w:hAnsi="楷体" w:eastAsia="楷体"/>
        </w:rPr>
        <w:t>，则按此费用签订合同。</w:t>
      </w:r>
    </w:p>
    <w:p>
      <w:pPr>
        <w:spacing w:line="400" w:lineRule="exact"/>
        <w:ind w:firstLine="425"/>
        <w:rPr>
          <w:rFonts w:ascii="楷体" w:hAnsi="楷体"/>
        </w:rPr>
      </w:pPr>
      <w:r>
        <w:rPr>
          <w:rFonts w:hint="eastAsia" w:ascii="楷体" w:hAnsi="楷体"/>
          <w:kern w:val="0"/>
        </w:rPr>
        <w:t xml:space="preserve"> </w:t>
      </w:r>
      <w:r>
        <w:rPr>
          <w:rFonts w:ascii="楷体" w:hAnsi="楷体"/>
        </w:rPr>
        <w:t>如果</w:t>
      </w:r>
      <w:r>
        <w:rPr>
          <w:rFonts w:hint="eastAsia" w:ascii="楷体" w:hAnsi="楷体"/>
        </w:rPr>
        <w:t>最终</w:t>
      </w:r>
      <w:r>
        <w:rPr>
          <w:rFonts w:ascii="楷体" w:hAnsi="楷体"/>
        </w:rPr>
        <w:t>承诺的报价不包括</w:t>
      </w:r>
      <w:r>
        <w:rPr>
          <w:rFonts w:hint="eastAsia" w:ascii="楷体" w:hAnsi="楷体"/>
        </w:rPr>
        <w:t>采购文件规定的</w:t>
      </w:r>
      <w:r>
        <w:rPr>
          <w:rFonts w:ascii="楷体" w:hAnsi="楷体"/>
        </w:rPr>
        <w:t>某项服务范围（即漏项），则视为这类服务项目的报价分摊在其它</w:t>
      </w:r>
      <w:r>
        <w:rPr>
          <w:rFonts w:hint="eastAsia" w:ascii="楷体" w:hAnsi="楷体"/>
        </w:rPr>
        <w:t>分</w:t>
      </w:r>
      <w:r>
        <w:rPr>
          <w:rFonts w:ascii="楷体" w:hAnsi="楷体"/>
        </w:rPr>
        <w:t>项目的报价中，</w:t>
      </w:r>
      <w:r>
        <w:rPr>
          <w:rFonts w:hint="eastAsia" w:ascii="楷体" w:hAnsi="楷体"/>
        </w:rPr>
        <w:t>任何情形下</w:t>
      </w:r>
      <w:r>
        <w:rPr>
          <w:rFonts w:ascii="楷体" w:hAnsi="楷体"/>
        </w:rPr>
        <w:t>不再增加漏报费用。</w:t>
      </w:r>
    </w:p>
    <w:p>
      <w:pPr>
        <w:spacing w:line="400" w:lineRule="exact"/>
        <w:ind w:firstLine="425"/>
        <w:rPr>
          <w:rFonts w:ascii="楷体" w:hAnsi="楷体"/>
        </w:rPr>
      </w:pPr>
      <w:r>
        <w:rPr>
          <w:rFonts w:ascii="楷体" w:hAnsi="楷体"/>
        </w:rPr>
        <w:t>报价书中还应包括本</w:t>
      </w:r>
      <w:r>
        <w:rPr>
          <w:rFonts w:hint="eastAsia" w:ascii="楷体" w:hAnsi="楷体"/>
        </w:rPr>
        <w:t>采购</w:t>
      </w:r>
      <w:r>
        <w:rPr>
          <w:rFonts w:ascii="楷体" w:hAnsi="楷体"/>
        </w:rPr>
        <w:t>文件要求的其他服务范围的报价（</w:t>
      </w:r>
      <w:r>
        <w:rPr>
          <w:rFonts w:hint="eastAsia" w:ascii="楷体" w:hAnsi="楷体"/>
        </w:rPr>
        <w:t>包括但</w:t>
      </w:r>
      <w:r>
        <w:rPr>
          <w:rFonts w:ascii="楷体" w:hAnsi="楷体"/>
        </w:rPr>
        <w:t>不限于）：</w:t>
      </w:r>
      <w:r>
        <w:rPr>
          <w:rFonts w:hint="eastAsia" w:ascii="楷体" w:hAnsi="楷体"/>
          <w:kern w:val="0"/>
        </w:rPr>
        <w:t xml:space="preserve">  </w:t>
      </w:r>
    </w:p>
    <w:p>
      <w:pPr>
        <w:spacing w:line="400" w:lineRule="exact"/>
        <w:ind w:firstLine="425"/>
        <w:rPr>
          <w:rFonts w:ascii="楷体" w:hAnsi="楷体"/>
          <w:b/>
        </w:rPr>
      </w:pPr>
      <w:r>
        <w:rPr>
          <w:rFonts w:hint="eastAsia" w:ascii="楷体" w:hAnsi="楷体"/>
          <w:b/>
        </w:rPr>
        <w:t>详见采购文件第二册。</w:t>
      </w:r>
    </w:p>
    <w:p>
      <w:pPr>
        <w:pStyle w:val="3"/>
        <w:outlineLvl w:val="2"/>
      </w:pPr>
      <w:r>
        <w:rPr>
          <w:rFonts w:hint="eastAsia"/>
        </w:rPr>
        <w:t>2、报价单（表）格式</w:t>
      </w:r>
    </w:p>
    <w:p>
      <w:pPr>
        <w:spacing w:line="400" w:lineRule="exact"/>
        <w:ind w:firstLine="425"/>
        <w:jc w:val="left"/>
        <w:rPr>
          <w:rFonts w:ascii="楷体" w:hAnsi="楷体"/>
        </w:rPr>
      </w:pPr>
      <w:r>
        <w:rPr>
          <w:rFonts w:hint="eastAsia" w:ascii="楷体" w:hAnsi="楷体"/>
        </w:rPr>
        <w:t>报价书应包括但不限于：</w:t>
      </w:r>
    </w:p>
    <w:p>
      <w:pPr>
        <w:spacing w:line="400" w:lineRule="exact"/>
        <w:ind w:firstLine="425"/>
        <w:jc w:val="left"/>
        <w:rPr>
          <w:rFonts w:ascii="楷体" w:hAnsi="楷体"/>
        </w:rPr>
      </w:pPr>
      <w:r>
        <w:rPr>
          <w:rFonts w:hint="eastAsia" w:ascii="楷体" w:hAnsi="楷体"/>
        </w:rPr>
        <w:t>（1）报价依据文件（如有）</w:t>
      </w:r>
    </w:p>
    <w:p>
      <w:pPr>
        <w:spacing w:line="400" w:lineRule="exact"/>
        <w:ind w:firstLine="425"/>
        <w:jc w:val="left"/>
        <w:rPr>
          <w:rFonts w:ascii="楷体" w:hAnsi="楷体"/>
        </w:rPr>
      </w:pPr>
      <w:r>
        <w:rPr>
          <w:rFonts w:hint="eastAsia" w:ascii="楷体" w:hAnsi="楷体"/>
        </w:rPr>
        <w:t>（2）报价汇总表</w:t>
      </w:r>
    </w:p>
    <w:p>
      <w:pPr>
        <w:spacing w:line="400" w:lineRule="exact"/>
        <w:ind w:firstLine="425"/>
        <w:jc w:val="left"/>
        <w:rPr>
          <w:rFonts w:ascii="楷体" w:hAnsi="楷体"/>
          <w:b/>
        </w:rPr>
      </w:pPr>
      <w:r>
        <w:rPr>
          <w:rFonts w:hint="eastAsia" w:ascii="楷体" w:hAnsi="楷体"/>
          <w:b/>
        </w:rPr>
        <w:t>报价汇总表格式、分项报价表格式应由与项目主管部门或项目单位提供，如项目主管部门或项目单位不能提供，采购代理机构就以下报价汇总表格式、分项报价表格式与项目主管部门或项目单位确认后使用。</w:t>
      </w:r>
    </w:p>
    <w:p>
      <w:pPr>
        <w:spacing w:line="400" w:lineRule="exact"/>
        <w:jc w:val="center"/>
        <w:rPr>
          <w:rFonts w:ascii="楷体" w:hAnsi="楷体"/>
        </w:rPr>
      </w:pPr>
    </w:p>
    <w:p>
      <w:pPr>
        <w:spacing w:line="400" w:lineRule="exact"/>
        <w:jc w:val="center"/>
        <w:outlineLvl w:val="1"/>
        <w:rPr>
          <w:rFonts w:ascii="楷体" w:hAnsi="楷体"/>
          <w:b/>
        </w:rPr>
      </w:pPr>
      <w:commentRangeStart w:id="2"/>
      <w:r>
        <w:rPr>
          <w:rFonts w:hint="eastAsia" w:ascii="楷体" w:hAnsi="楷体"/>
          <w:b/>
        </w:rPr>
        <w:t>报价汇总表</w:t>
      </w:r>
      <w:commentRangeEnd w:id="2"/>
      <w:r>
        <w:rPr>
          <w:rStyle w:val="56"/>
          <w:rFonts w:eastAsia="宋体" w:asciiTheme="minorHAnsi" w:hAnsiTheme="minorHAnsi" w:cstheme="minorBidi"/>
          <w:szCs w:val="22"/>
        </w:rPr>
        <w:commentReference w:id="2"/>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4828"/>
        <w:gridCol w:w="25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78" w:type="dxa"/>
            <w:tcMar>
              <w:left w:w="85" w:type="dxa"/>
              <w:right w:w="85" w:type="dxa"/>
            </w:tcMar>
            <w:vAlign w:val="center"/>
          </w:tcPr>
          <w:p>
            <w:pPr>
              <w:pStyle w:val="87"/>
              <w:snapToGrid w:val="0"/>
              <w:jc w:val="center"/>
              <w:rPr>
                <w:rFonts w:ascii="楷体" w:hAnsi="楷体" w:eastAsia="楷体"/>
                <w:b/>
              </w:rPr>
            </w:pPr>
            <w:r>
              <w:rPr>
                <w:rFonts w:hint="eastAsia" w:ascii="楷体" w:hAnsi="楷体" w:eastAsia="楷体"/>
                <w:b/>
              </w:rPr>
              <w:t>序号</w:t>
            </w:r>
          </w:p>
        </w:tc>
        <w:tc>
          <w:tcPr>
            <w:tcW w:w="4828" w:type="dxa"/>
            <w:tcMar>
              <w:left w:w="85" w:type="dxa"/>
              <w:right w:w="85" w:type="dxa"/>
            </w:tcMar>
            <w:vAlign w:val="center"/>
          </w:tcPr>
          <w:p>
            <w:pPr>
              <w:pStyle w:val="87"/>
              <w:snapToGrid w:val="0"/>
              <w:jc w:val="center"/>
              <w:rPr>
                <w:rFonts w:ascii="楷体" w:hAnsi="楷体" w:eastAsia="楷体"/>
                <w:b/>
              </w:rPr>
            </w:pPr>
            <w:r>
              <w:rPr>
                <w:rFonts w:hint="eastAsia" w:ascii="楷体" w:hAnsi="楷体" w:eastAsia="楷体"/>
                <w:b/>
              </w:rPr>
              <w:t>项  目</w:t>
            </w:r>
          </w:p>
        </w:tc>
        <w:tc>
          <w:tcPr>
            <w:tcW w:w="2570" w:type="dxa"/>
            <w:tcMar>
              <w:left w:w="170" w:type="dxa"/>
              <w:right w:w="85" w:type="dxa"/>
            </w:tcMar>
            <w:vAlign w:val="center"/>
          </w:tcPr>
          <w:p>
            <w:pPr>
              <w:pStyle w:val="87"/>
              <w:snapToGrid w:val="0"/>
              <w:jc w:val="center"/>
              <w:rPr>
                <w:rFonts w:ascii="楷体" w:hAnsi="楷体" w:eastAsia="楷体"/>
                <w:b/>
              </w:rPr>
            </w:pPr>
            <w:r>
              <w:rPr>
                <w:rFonts w:hint="eastAsia" w:ascii="楷体" w:hAnsi="楷体" w:eastAsia="楷体"/>
                <w:b/>
              </w:rPr>
              <w:t>价格（元）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78" w:type="dxa"/>
            <w:tcMar>
              <w:left w:w="85" w:type="dxa"/>
              <w:right w:w="85" w:type="dxa"/>
            </w:tcMar>
            <w:vAlign w:val="center"/>
          </w:tcPr>
          <w:p>
            <w:pPr>
              <w:pStyle w:val="87"/>
              <w:snapToGrid w:val="0"/>
              <w:ind w:firstLine="422" w:firstLineChars="200"/>
              <w:rPr>
                <w:rFonts w:ascii="楷体" w:hAnsi="楷体" w:eastAsia="楷体"/>
                <w:b/>
              </w:rPr>
            </w:pPr>
            <w:r>
              <w:rPr>
                <w:rFonts w:hint="eastAsia" w:ascii="楷体" w:hAnsi="楷体" w:eastAsia="楷体"/>
                <w:b/>
              </w:rPr>
              <w:t>1</w:t>
            </w:r>
          </w:p>
        </w:tc>
        <w:tc>
          <w:tcPr>
            <w:tcW w:w="4828" w:type="dxa"/>
            <w:tcMar>
              <w:left w:w="85" w:type="dxa"/>
              <w:right w:w="85" w:type="dxa"/>
            </w:tcMar>
            <w:vAlign w:val="bottom"/>
          </w:tcPr>
          <w:p>
            <w:pPr>
              <w:pStyle w:val="87"/>
              <w:snapToGrid w:val="0"/>
              <w:rPr>
                <w:rFonts w:ascii="楷体" w:hAnsi="楷体" w:eastAsia="楷体"/>
                <w:b/>
              </w:rPr>
            </w:pPr>
            <w:r>
              <w:rPr>
                <w:rFonts w:hint="eastAsia" w:ascii="楷体" w:hAnsi="楷体" w:eastAsia="楷体"/>
                <w:b/>
              </w:rPr>
              <w:t>国网四川成都供电公司变电检修工区</w:t>
            </w:r>
            <w:r>
              <w:rPr>
                <w:rFonts w:ascii="楷体" w:hAnsi="楷体" w:eastAsia="楷体"/>
                <w:b/>
              </w:rPr>
              <w:t>110kV金沙变电站等8座变电站大电流开关柜散热装置控制智能化专项整治服务</w:t>
            </w:r>
          </w:p>
        </w:tc>
        <w:tc>
          <w:tcPr>
            <w:tcW w:w="2570"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78" w:type="dxa"/>
            <w:tcMar>
              <w:left w:w="85" w:type="dxa"/>
              <w:right w:w="85" w:type="dxa"/>
            </w:tcMar>
            <w:vAlign w:val="bottom"/>
          </w:tcPr>
          <w:p>
            <w:pPr>
              <w:pStyle w:val="87"/>
              <w:snapToGrid w:val="0"/>
              <w:ind w:firstLine="422" w:firstLineChars="200"/>
              <w:rPr>
                <w:rFonts w:ascii="楷体" w:hAnsi="楷体" w:eastAsia="楷体"/>
                <w:b/>
              </w:rPr>
            </w:pPr>
          </w:p>
        </w:tc>
        <w:tc>
          <w:tcPr>
            <w:tcW w:w="4828" w:type="dxa"/>
            <w:tcMar>
              <w:left w:w="85" w:type="dxa"/>
              <w:right w:w="85" w:type="dxa"/>
            </w:tcMar>
            <w:vAlign w:val="bottom"/>
          </w:tcPr>
          <w:p>
            <w:pPr>
              <w:pStyle w:val="87"/>
              <w:snapToGrid w:val="0"/>
              <w:ind w:firstLine="422" w:firstLineChars="200"/>
              <w:rPr>
                <w:rFonts w:ascii="楷体" w:hAnsi="楷体" w:eastAsia="楷体"/>
                <w:b/>
              </w:rPr>
            </w:pPr>
          </w:p>
        </w:tc>
        <w:tc>
          <w:tcPr>
            <w:tcW w:w="2570"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78" w:type="dxa"/>
            <w:tcMar>
              <w:left w:w="85" w:type="dxa"/>
              <w:right w:w="85" w:type="dxa"/>
            </w:tcMar>
            <w:vAlign w:val="bottom"/>
          </w:tcPr>
          <w:p>
            <w:pPr>
              <w:pStyle w:val="87"/>
              <w:snapToGrid w:val="0"/>
              <w:ind w:firstLine="422" w:firstLineChars="200"/>
              <w:rPr>
                <w:rFonts w:ascii="楷体" w:hAnsi="楷体" w:eastAsia="楷体"/>
                <w:b/>
              </w:rPr>
            </w:pPr>
          </w:p>
        </w:tc>
        <w:tc>
          <w:tcPr>
            <w:tcW w:w="4828" w:type="dxa"/>
            <w:tcMar>
              <w:left w:w="85" w:type="dxa"/>
              <w:right w:w="85" w:type="dxa"/>
            </w:tcMar>
            <w:vAlign w:val="bottom"/>
          </w:tcPr>
          <w:p>
            <w:pPr>
              <w:pStyle w:val="87"/>
              <w:snapToGrid w:val="0"/>
              <w:ind w:firstLine="422" w:firstLineChars="200"/>
              <w:rPr>
                <w:rFonts w:ascii="楷体" w:hAnsi="楷体" w:eastAsia="楷体"/>
                <w:b/>
              </w:rPr>
            </w:pPr>
          </w:p>
        </w:tc>
        <w:tc>
          <w:tcPr>
            <w:tcW w:w="2570"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78" w:type="dxa"/>
            <w:tcMar>
              <w:left w:w="85" w:type="dxa"/>
              <w:right w:w="85" w:type="dxa"/>
            </w:tcMar>
            <w:vAlign w:val="bottom"/>
          </w:tcPr>
          <w:p>
            <w:pPr>
              <w:pStyle w:val="87"/>
              <w:snapToGrid w:val="0"/>
              <w:ind w:firstLine="422" w:firstLineChars="200"/>
              <w:rPr>
                <w:rFonts w:ascii="楷体" w:hAnsi="楷体" w:eastAsia="楷体"/>
                <w:b/>
              </w:rPr>
            </w:pPr>
          </w:p>
        </w:tc>
        <w:tc>
          <w:tcPr>
            <w:tcW w:w="4828" w:type="dxa"/>
            <w:tcMar>
              <w:left w:w="85" w:type="dxa"/>
              <w:right w:w="85" w:type="dxa"/>
            </w:tcMar>
            <w:vAlign w:val="bottom"/>
          </w:tcPr>
          <w:p>
            <w:pPr>
              <w:pStyle w:val="87"/>
              <w:snapToGrid w:val="0"/>
              <w:ind w:firstLine="422" w:firstLineChars="200"/>
              <w:rPr>
                <w:rFonts w:ascii="楷体" w:hAnsi="楷体" w:eastAsia="楷体"/>
                <w:b/>
              </w:rPr>
            </w:pPr>
          </w:p>
        </w:tc>
        <w:tc>
          <w:tcPr>
            <w:tcW w:w="2570"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78" w:type="dxa"/>
            <w:tcMar>
              <w:left w:w="85" w:type="dxa"/>
              <w:right w:w="85" w:type="dxa"/>
            </w:tcMar>
            <w:vAlign w:val="center"/>
          </w:tcPr>
          <w:p>
            <w:pPr>
              <w:pStyle w:val="87"/>
              <w:snapToGrid w:val="0"/>
              <w:ind w:firstLine="422" w:firstLineChars="200"/>
              <w:rPr>
                <w:rFonts w:ascii="楷体" w:hAnsi="楷体" w:eastAsia="楷体"/>
                <w:b/>
              </w:rPr>
            </w:pPr>
          </w:p>
        </w:tc>
        <w:tc>
          <w:tcPr>
            <w:tcW w:w="4828" w:type="dxa"/>
            <w:tcMar>
              <w:left w:w="85" w:type="dxa"/>
              <w:right w:w="85" w:type="dxa"/>
            </w:tcMar>
            <w:vAlign w:val="bottom"/>
          </w:tcPr>
          <w:p>
            <w:pPr>
              <w:pStyle w:val="87"/>
              <w:snapToGrid w:val="0"/>
              <w:ind w:firstLine="422" w:firstLineChars="200"/>
              <w:rPr>
                <w:rFonts w:ascii="楷体" w:hAnsi="楷体" w:eastAsia="楷体"/>
                <w:b/>
              </w:rPr>
            </w:pPr>
          </w:p>
        </w:tc>
        <w:tc>
          <w:tcPr>
            <w:tcW w:w="2570"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78" w:type="dxa"/>
            <w:tcMar>
              <w:left w:w="85" w:type="dxa"/>
              <w:right w:w="85" w:type="dxa"/>
            </w:tcMar>
            <w:vAlign w:val="bottom"/>
          </w:tcPr>
          <w:p>
            <w:pPr>
              <w:pStyle w:val="87"/>
              <w:snapToGrid w:val="0"/>
              <w:ind w:firstLine="422" w:firstLineChars="200"/>
              <w:rPr>
                <w:rFonts w:ascii="楷体" w:hAnsi="楷体" w:eastAsia="楷体"/>
                <w:b/>
              </w:rPr>
            </w:pPr>
          </w:p>
        </w:tc>
        <w:tc>
          <w:tcPr>
            <w:tcW w:w="4828" w:type="dxa"/>
            <w:tcMar>
              <w:left w:w="85" w:type="dxa"/>
              <w:right w:w="85" w:type="dxa"/>
            </w:tcMar>
            <w:vAlign w:val="bottom"/>
          </w:tcPr>
          <w:p>
            <w:pPr>
              <w:pStyle w:val="87"/>
              <w:snapToGrid w:val="0"/>
              <w:ind w:firstLine="422" w:firstLineChars="200"/>
              <w:rPr>
                <w:rFonts w:ascii="楷体" w:hAnsi="楷体" w:eastAsia="楷体"/>
                <w:b/>
              </w:rPr>
            </w:pPr>
          </w:p>
        </w:tc>
        <w:tc>
          <w:tcPr>
            <w:tcW w:w="2570"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78" w:type="dxa"/>
            <w:tcMar>
              <w:left w:w="85" w:type="dxa"/>
              <w:right w:w="85" w:type="dxa"/>
            </w:tcMar>
            <w:vAlign w:val="bottom"/>
          </w:tcPr>
          <w:p>
            <w:pPr>
              <w:pStyle w:val="87"/>
              <w:snapToGrid w:val="0"/>
              <w:ind w:firstLine="422" w:firstLineChars="200"/>
              <w:rPr>
                <w:rFonts w:ascii="楷体" w:hAnsi="楷体" w:eastAsia="楷体"/>
                <w:b/>
              </w:rPr>
            </w:pPr>
          </w:p>
        </w:tc>
        <w:tc>
          <w:tcPr>
            <w:tcW w:w="4828" w:type="dxa"/>
            <w:tcMar>
              <w:left w:w="85" w:type="dxa"/>
              <w:right w:w="85" w:type="dxa"/>
            </w:tcMar>
            <w:vAlign w:val="bottom"/>
          </w:tcPr>
          <w:p>
            <w:pPr>
              <w:pStyle w:val="87"/>
              <w:snapToGrid w:val="0"/>
              <w:ind w:firstLine="422" w:firstLineChars="200"/>
              <w:rPr>
                <w:rFonts w:ascii="楷体" w:hAnsi="楷体" w:eastAsia="楷体"/>
                <w:b/>
              </w:rPr>
            </w:pPr>
          </w:p>
        </w:tc>
        <w:tc>
          <w:tcPr>
            <w:tcW w:w="2570"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78" w:type="dxa"/>
            <w:tcMar>
              <w:left w:w="85" w:type="dxa"/>
              <w:right w:w="85" w:type="dxa"/>
            </w:tcMar>
            <w:vAlign w:val="bottom"/>
          </w:tcPr>
          <w:p>
            <w:pPr>
              <w:pStyle w:val="87"/>
              <w:snapToGrid w:val="0"/>
              <w:ind w:firstLine="422" w:firstLineChars="200"/>
              <w:rPr>
                <w:rFonts w:ascii="楷体" w:hAnsi="楷体" w:eastAsia="楷体"/>
                <w:b/>
              </w:rPr>
            </w:pPr>
          </w:p>
        </w:tc>
        <w:tc>
          <w:tcPr>
            <w:tcW w:w="4828" w:type="dxa"/>
            <w:tcMar>
              <w:left w:w="85" w:type="dxa"/>
              <w:right w:w="85" w:type="dxa"/>
            </w:tcMar>
            <w:vAlign w:val="bottom"/>
          </w:tcPr>
          <w:p>
            <w:pPr>
              <w:pStyle w:val="87"/>
              <w:snapToGrid w:val="0"/>
              <w:ind w:firstLine="422" w:firstLineChars="200"/>
              <w:rPr>
                <w:rFonts w:ascii="楷体" w:hAnsi="楷体" w:eastAsia="楷体"/>
                <w:b/>
              </w:rPr>
            </w:pPr>
          </w:p>
        </w:tc>
        <w:tc>
          <w:tcPr>
            <w:tcW w:w="2570"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78" w:type="dxa"/>
            <w:tcMar>
              <w:left w:w="85" w:type="dxa"/>
              <w:right w:w="85" w:type="dxa"/>
            </w:tcMar>
            <w:vAlign w:val="center"/>
          </w:tcPr>
          <w:p>
            <w:pPr>
              <w:pStyle w:val="87"/>
              <w:snapToGrid w:val="0"/>
              <w:ind w:firstLine="422" w:firstLineChars="200"/>
              <w:rPr>
                <w:rFonts w:ascii="楷体" w:hAnsi="楷体" w:eastAsia="楷体"/>
                <w:b/>
              </w:rPr>
            </w:pPr>
          </w:p>
        </w:tc>
        <w:tc>
          <w:tcPr>
            <w:tcW w:w="4828" w:type="dxa"/>
            <w:tcMar>
              <w:left w:w="85" w:type="dxa"/>
              <w:right w:w="85" w:type="dxa"/>
            </w:tcMar>
            <w:vAlign w:val="center"/>
          </w:tcPr>
          <w:p>
            <w:pPr>
              <w:pStyle w:val="87"/>
              <w:snapToGrid w:val="0"/>
              <w:ind w:firstLine="422" w:firstLineChars="200"/>
              <w:rPr>
                <w:rFonts w:ascii="楷体" w:hAnsi="楷体" w:eastAsia="楷体"/>
                <w:b/>
              </w:rPr>
            </w:pPr>
          </w:p>
        </w:tc>
        <w:tc>
          <w:tcPr>
            <w:tcW w:w="2570" w:type="dxa"/>
            <w:tcMar>
              <w:left w:w="170" w:type="dxa"/>
              <w:right w:w="85" w:type="dxa"/>
            </w:tcMar>
            <w:vAlign w:val="center"/>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78" w:type="dxa"/>
            <w:tcMar>
              <w:left w:w="85" w:type="dxa"/>
              <w:right w:w="85" w:type="dxa"/>
            </w:tcMar>
            <w:vAlign w:val="center"/>
          </w:tcPr>
          <w:p>
            <w:pPr>
              <w:pStyle w:val="87"/>
              <w:snapToGrid w:val="0"/>
              <w:ind w:firstLine="422" w:firstLineChars="200"/>
              <w:rPr>
                <w:rFonts w:ascii="楷体" w:hAnsi="楷体" w:eastAsia="楷体"/>
                <w:b/>
              </w:rPr>
            </w:pPr>
          </w:p>
        </w:tc>
        <w:tc>
          <w:tcPr>
            <w:tcW w:w="4828" w:type="dxa"/>
            <w:tcMar>
              <w:left w:w="85" w:type="dxa"/>
              <w:right w:w="85" w:type="dxa"/>
            </w:tcMar>
            <w:vAlign w:val="center"/>
          </w:tcPr>
          <w:p>
            <w:pPr>
              <w:pStyle w:val="87"/>
              <w:snapToGrid w:val="0"/>
              <w:ind w:firstLine="422" w:firstLineChars="200"/>
              <w:rPr>
                <w:rFonts w:ascii="楷体" w:hAnsi="楷体" w:eastAsia="楷体"/>
                <w:b/>
              </w:rPr>
            </w:pPr>
          </w:p>
        </w:tc>
        <w:tc>
          <w:tcPr>
            <w:tcW w:w="2570" w:type="dxa"/>
            <w:tcMar>
              <w:left w:w="170" w:type="dxa"/>
              <w:right w:w="85" w:type="dxa"/>
            </w:tcMar>
            <w:vAlign w:val="center"/>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78" w:type="dxa"/>
            <w:tcMar>
              <w:left w:w="85" w:type="dxa"/>
              <w:right w:w="85" w:type="dxa"/>
            </w:tcMar>
            <w:vAlign w:val="center"/>
          </w:tcPr>
          <w:p>
            <w:pPr>
              <w:pStyle w:val="87"/>
              <w:snapToGrid w:val="0"/>
              <w:ind w:firstLine="422" w:firstLineChars="200"/>
              <w:rPr>
                <w:rFonts w:ascii="楷体" w:hAnsi="楷体" w:eastAsia="楷体"/>
                <w:b/>
              </w:rPr>
            </w:pPr>
          </w:p>
        </w:tc>
        <w:tc>
          <w:tcPr>
            <w:tcW w:w="4828" w:type="dxa"/>
            <w:tcMar>
              <w:left w:w="85" w:type="dxa"/>
              <w:right w:w="85" w:type="dxa"/>
            </w:tcMar>
            <w:vAlign w:val="center"/>
          </w:tcPr>
          <w:p>
            <w:pPr>
              <w:pStyle w:val="87"/>
              <w:snapToGrid w:val="0"/>
              <w:ind w:firstLine="422" w:firstLineChars="200"/>
              <w:rPr>
                <w:rFonts w:ascii="楷体" w:hAnsi="楷体" w:eastAsia="楷体"/>
                <w:b/>
              </w:rPr>
            </w:pPr>
          </w:p>
        </w:tc>
        <w:tc>
          <w:tcPr>
            <w:tcW w:w="2570" w:type="dxa"/>
            <w:tcMar>
              <w:left w:w="170" w:type="dxa"/>
              <w:right w:w="85" w:type="dxa"/>
            </w:tcMar>
            <w:vAlign w:val="center"/>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78" w:type="dxa"/>
            <w:tcMar>
              <w:left w:w="85" w:type="dxa"/>
              <w:right w:w="85" w:type="dxa"/>
            </w:tcMar>
            <w:vAlign w:val="bottom"/>
          </w:tcPr>
          <w:p>
            <w:pPr>
              <w:pStyle w:val="87"/>
              <w:snapToGrid w:val="0"/>
              <w:ind w:firstLine="422" w:firstLineChars="200"/>
              <w:rPr>
                <w:rFonts w:ascii="楷体" w:hAnsi="楷体" w:eastAsia="楷体"/>
                <w:b/>
              </w:rPr>
            </w:pPr>
          </w:p>
        </w:tc>
        <w:tc>
          <w:tcPr>
            <w:tcW w:w="4828" w:type="dxa"/>
            <w:tcMar>
              <w:left w:w="85" w:type="dxa"/>
              <w:right w:w="85" w:type="dxa"/>
            </w:tcMar>
            <w:vAlign w:val="center"/>
          </w:tcPr>
          <w:p>
            <w:pPr>
              <w:pStyle w:val="87"/>
              <w:snapToGrid w:val="0"/>
              <w:ind w:firstLine="422" w:firstLineChars="200"/>
              <w:rPr>
                <w:rFonts w:ascii="楷体" w:hAnsi="楷体" w:eastAsia="楷体"/>
                <w:b/>
              </w:rPr>
            </w:pPr>
          </w:p>
        </w:tc>
        <w:tc>
          <w:tcPr>
            <w:tcW w:w="2570" w:type="dxa"/>
            <w:tcMar>
              <w:left w:w="170" w:type="dxa"/>
              <w:right w:w="85" w:type="dxa"/>
            </w:tcMar>
            <w:vAlign w:val="center"/>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906" w:type="dxa"/>
            <w:gridSpan w:val="2"/>
            <w:tcMar>
              <w:left w:w="85" w:type="dxa"/>
              <w:right w:w="85" w:type="dxa"/>
            </w:tcMar>
            <w:vAlign w:val="center"/>
          </w:tcPr>
          <w:p>
            <w:pPr>
              <w:pStyle w:val="87"/>
              <w:snapToGrid w:val="0"/>
              <w:ind w:firstLine="422" w:firstLineChars="200"/>
              <w:rPr>
                <w:rFonts w:ascii="楷体" w:hAnsi="楷体" w:eastAsia="楷体"/>
                <w:b/>
              </w:rPr>
            </w:pPr>
            <w:r>
              <w:rPr>
                <w:rFonts w:hint="eastAsia" w:ascii="楷体" w:hAnsi="楷体" w:eastAsia="楷体"/>
                <w:b/>
              </w:rPr>
              <w:t>合计</w:t>
            </w:r>
          </w:p>
        </w:tc>
        <w:tc>
          <w:tcPr>
            <w:tcW w:w="2570" w:type="dxa"/>
            <w:tcMar>
              <w:left w:w="170" w:type="dxa"/>
              <w:right w:w="85" w:type="dxa"/>
            </w:tcMar>
            <w:vAlign w:val="center"/>
          </w:tcPr>
          <w:p>
            <w:pPr>
              <w:pStyle w:val="87"/>
              <w:snapToGrid w:val="0"/>
              <w:ind w:firstLine="422" w:firstLineChars="200"/>
              <w:rPr>
                <w:rFonts w:ascii="楷体" w:hAnsi="楷体" w:eastAsia="楷体"/>
                <w:b/>
              </w:rPr>
            </w:pPr>
          </w:p>
        </w:tc>
      </w:tr>
    </w:tbl>
    <w:p>
      <w:pPr>
        <w:spacing w:line="400" w:lineRule="exact"/>
        <w:ind w:firstLine="425"/>
        <w:jc w:val="right"/>
        <w:rPr>
          <w:rFonts w:ascii="楷体" w:hAnsi="楷体"/>
        </w:rPr>
      </w:pPr>
    </w:p>
    <w:p>
      <w:pPr>
        <w:spacing w:line="400" w:lineRule="exact"/>
        <w:ind w:firstLine="425"/>
        <w:jc w:val="right"/>
        <w:rPr>
          <w:rFonts w:ascii="楷体" w:hAnsi="楷体"/>
        </w:rPr>
      </w:pPr>
    </w:p>
    <w:p>
      <w:pPr>
        <w:spacing w:line="400" w:lineRule="exact"/>
        <w:ind w:firstLine="425"/>
        <w:jc w:val="right"/>
        <w:rPr>
          <w:rFonts w:ascii="楷体" w:hAnsi="楷体"/>
          <w:b/>
        </w:rPr>
      </w:pPr>
      <w:r>
        <w:rPr>
          <w:rFonts w:hint="eastAsia" w:ascii="楷体" w:hAnsi="楷体"/>
          <w:b/>
        </w:rPr>
        <w:t>法定代表人或授权代表签字：____________</w:t>
      </w:r>
    </w:p>
    <w:p>
      <w:pPr>
        <w:spacing w:line="400" w:lineRule="exact"/>
        <w:ind w:firstLine="425"/>
        <w:jc w:val="right"/>
        <w:rPr>
          <w:rFonts w:ascii="楷体" w:hAnsi="楷体"/>
          <w:b/>
        </w:rPr>
      </w:pPr>
      <w:r>
        <w:rPr>
          <w:rFonts w:hint="eastAsia" w:ascii="楷体" w:hAnsi="楷体"/>
          <w:b/>
        </w:rPr>
        <w:t>应答人公章：__</w:t>
      </w:r>
      <w:r>
        <w:rPr>
          <w:rFonts w:hint="eastAsia" w:ascii="楷体" w:hAnsi="楷体"/>
          <w:b/>
          <w:u w:val="single"/>
        </w:rPr>
        <w:t>四川大学</w:t>
      </w:r>
      <w:r>
        <w:rPr>
          <w:rFonts w:hint="eastAsia" w:ascii="楷体" w:hAnsi="楷体"/>
          <w:b/>
        </w:rPr>
        <w:t>__________</w:t>
      </w:r>
    </w:p>
    <w:p>
      <w:pPr>
        <w:spacing w:line="400" w:lineRule="exact"/>
        <w:ind w:firstLine="425"/>
        <w:jc w:val="left"/>
        <w:rPr>
          <w:rFonts w:ascii="楷体" w:hAnsi="楷体"/>
        </w:rPr>
      </w:pPr>
    </w:p>
    <w:p>
      <w:pPr>
        <w:spacing w:line="400" w:lineRule="exact"/>
        <w:ind w:firstLine="425"/>
        <w:jc w:val="left"/>
        <w:rPr>
          <w:rFonts w:ascii="楷体" w:hAnsi="楷体"/>
        </w:rPr>
      </w:pPr>
      <w:r>
        <w:rPr>
          <w:rFonts w:hint="eastAsia" w:ascii="楷体" w:hAnsi="楷体"/>
        </w:rPr>
        <w:t>（3）分项报价表：分项报价表应标明</w:t>
      </w:r>
      <w:r>
        <w:rPr>
          <w:rFonts w:ascii="楷体" w:hAnsi="楷体"/>
          <w:kern w:val="0"/>
        </w:rPr>
        <w:t>服务项目、服务内容、服务质量、</w:t>
      </w:r>
      <w:r>
        <w:rPr>
          <w:rFonts w:hint="eastAsia" w:ascii="楷体" w:hAnsi="楷体"/>
          <w:kern w:val="0"/>
        </w:rPr>
        <w:t>及</w:t>
      </w:r>
      <w:r>
        <w:rPr>
          <w:rFonts w:hint="eastAsia" w:ascii="楷体" w:hAnsi="楷体"/>
        </w:rPr>
        <w:t>各项费用编制和计算依据，以及必要的计算方法及说明。</w:t>
      </w:r>
    </w:p>
    <w:p>
      <w:pPr>
        <w:spacing w:line="400" w:lineRule="exact"/>
        <w:rPr>
          <w:rFonts w:ascii="楷体" w:hAnsi="楷体"/>
        </w:rPr>
      </w:pPr>
    </w:p>
    <w:p>
      <w:pPr>
        <w:jc w:val="center"/>
        <w:outlineLvl w:val="1"/>
        <w:rPr>
          <w:rFonts w:ascii="楷体" w:hAnsi="楷体"/>
          <w:b/>
        </w:rPr>
      </w:pPr>
      <w:commentRangeStart w:id="3"/>
      <w:r>
        <w:rPr>
          <w:rFonts w:hint="eastAsia" w:ascii="楷体" w:hAnsi="楷体"/>
          <w:b/>
        </w:rPr>
        <w:t>分项报价表（如有）</w:t>
      </w:r>
      <w:commentRangeEnd w:id="3"/>
      <w:r>
        <w:rPr>
          <w:rStyle w:val="56"/>
          <w:rFonts w:eastAsia="宋体" w:asciiTheme="minorHAnsi" w:hAnsiTheme="minorHAnsi" w:cstheme="minorBidi"/>
          <w:szCs w:val="22"/>
        </w:rPr>
        <w:commentReference w:id="3"/>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568"/>
        <w:gridCol w:w="1725"/>
        <w:gridCol w:w="1198"/>
        <w:gridCol w:w="1161"/>
        <w:gridCol w:w="1495"/>
        <w:gridCol w:w="27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68" w:type="dxa"/>
            <w:tcMar>
              <w:left w:w="85" w:type="dxa"/>
              <w:right w:w="85" w:type="dxa"/>
            </w:tcMar>
            <w:vAlign w:val="center"/>
          </w:tcPr>
          <w:p>
            <w:pPr>
              <w:pStyle w:val="87"/>
              <w:snapToGrid w:val="0"/>
              <w:jc w:val="center"/>
              <w:rPr>
                <w:rFonts w:ascii="楷体" w:hAnsi="楷体" w:eastAsia="楷体"/>
                <w:b/>
              </w:rPr>
            </w:pPr>
            <w:r>
              <w:rPr>
                <w:rFonts w:hint="eastAsia" w:ascii="楷体" w:hAnsi="楷体" w:eastAsia="楷体"/>
                <w:b/>
              </w:rPr>
              <w:t>序号</w:t>
            </w:r>
          </w:p>
        </w:tc>
        <w:tc>
          <w:tcPr>
            <w:tcW w:w="1568" w:type="dxa"/>
            <w:tcMar>
              <w:left w:w="85" w:type="dxa"/>
              <w:right w:w="85" w:type="dxa"/>
            </w:tcMar>
            <w:vAlign w:val="center"/>
          </w:tcPr>
          <w:p>
            <w:pPr>
              <w:pStyle w:val="87"/>
              <w:snapToGrid w:val="0"/>
              <w:jc w:val="center"/>
              <w:rPr>
                <w:rFonts w:ascii="楷体" w:hAnsi="楷体" w:eastAsia="楷体"/>
                <w:b/>
              </w:rPr>
            </w:pPr>
            <w:r>
              <w:rPr>
                <w:rFonts w:hint="eastAsia" w:ascii="楷体" w:hAnsi="楷体" w:eastAsia="楷体"/>
                <w:b/>
              </w:rPr>
              <w:t>项  目</w:t>
            </w:r>
          </w:p>
        </w:tc>
        <w:tc>
          <w:tcPr>
            <w:tcW w:w="1725" w:type="dxa"/>
            <w:tcMar>
              <w:left w:w="170" w:type="dxa"/>
              <w:right w:w="85" w:type="dxa"/>
            </w:tcMar>
            <w:vAlign w:val="center"/>
          </w:tcPr>
          <w:p>
            <w:pPr>
              <w:pStyle w:val="87"/>
              <w:snapToGrid w:val="0"/>
              <w:jc w:val="center"/>
              <w:rPr>
                <w:rFonts w:ascii="楷体" w:hAnsi="楷体" w:eastAsia="楷体"/>
                <w:b/>
              </w:rPr>
            </w:pPr>
            <w:r>
              <w:rPr>
                <w:rFonts w:hint="eastAsia" w:ascii="楷体" w:hAnsi="楷体" w:eastAsia="楷体"/>
                <w:b/>
              </w:rPr>
              <w:t>分项</w:t>
            </w:r>
          </w:p>
        </w:tc>
        <w:tc>
          <w:tcPr>
            <w:tcW w:w="1198" w:type="dxa"/>
            <w:tcMar>
              <w:left w:w="170" w:type="dxa"/>
              <w:right w:w="85" w:type="dxa"/>
            </w:tcMar>
            <w:vAlign w:val="center"/>
          </w:tcPr>
          <w:p>
            <w:pPr>
              <w:pStyle w:val="87"/>
              <w:snapToGrid w:val="0"/>
              <w:jc w:val="center"/>
              <w:rPr>
                <w:rFonts w:ascii="楷体" w:hAnsi="楷体" w:eastAsia="楷体"/>
                <w:b/>
              </w:rPr>
            </w:pPr>
            <w:r>
              <w:rPr>
                <w:rFonts w:hint="eastAsia" w:ascii="楷体" w:hAnsi="楷体" w:eastAsia="楷体"/>
                <w:b/>
              </w:rPr>
              <w:t>单价</w:t>
            </w:r>
          </w:p>
        </w:tc>
        <w:tc>
          <w:tcPr>
            <w:tcW w:w="1161" w:type="dxa"/>
            <w:tcMar>
              <w:left w:w="170" w:type="dxa"/>
              <w:right w:w="85" w:type="dxa"/>
            </w:tcMar>
            <w:vAlign w:val="center"/>
          </w:tcPr>
          <w:p>
            <w:pPr>
              <w:pStyle w:val="87"/>
              <w:snapToGrid w:val="0"/>
              <w:jc w:val="center"/>
              <w:rPr>
                <w:rFonts w:ascii="楷体" w:hAnsi="楷体" w:eastAsia="楷体"/>
                <w:b/>
              </w:rPr>
            </w:pPr>
            <w:r>
              <w:rPr>
                <w:rFonts w:hint="eastAsia" w:ascii="楷体" w:hAnsi="楷体" w:eastAsia="楷体"/>
                <w:b/>
              </w:rPr>
              <w:t>数量</w:t>
            </w:r>
          </w:p>
        </w:tc>
        <w:tc>
          <w:tcPr>
            <w:tcW w:w="1495" w:type="dxa"/>
            <w:tcMar>
              <w:left w:w="170" w:type="dxa"/>
              <w:right w:w="85" w:type="dxa"/>
            </w:tcMar>
            <w:vAlign w:val="center"/>
          </w:tcPr>
          <w:p>
            <w:pPr>
              <w:pStyle w:val="87"/>
              <w:snapToGrid w:val="0"/>
              <w:jc w:val="center"/>
              <w:rPr>
                <w:rFonts w:ascii="楷体" w:hAnsi="楷体" w:eastAsia="楷体"/>
                <w:b/>
              </w:rPr>
            </w:pPr>
            <w:r>
              <w:rPr>
                <w:rFonts w:hint="eastAsia" w:ascii="楷体" w:hAnsi="楷体" w:eastAsia="楷体"/>
                <w:b/>
              </w:rPr>
              <w:t>合价（元）</w:t>
            </w:r>
          </w:p>
        </w:tc>
        <w:tc>
          <w:tcPr>
            <w:tcW w:w="2757" w:type="dxa"/>
            <w:tcMar>
              <w:left w:w="170" w:type="dxa"/>
              <w:right w:w="85" w:type="dxa"/>
            </w:tcMar>
            <w:vAlign w:val="center"/>
          </w:tcPr>
          <w:p>
            <w:pPr>
              <w:pStyle w:val="87"/>
              <w:snapToGrid w:val="0"/>
              <w:jc w:val="center"/>
              <w:rPr>
                <w:rFonts w:ascii="楷体" w:hAnsi="楷体" w:eastAsia="楷体"/>
                <w:b/>
              </w:rPr>
            </w:pPr>
            <w:r>
              <w:rPr>
                <w:rFonts w:hint="eastAsia" w:ascii="楷体" w:hAnsi="楷体" w:eastAsia="楷体"/>
                <w:b/>
              </w:rPr>
              <w:t>计算说明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8" w:type="dxa"/>
            <w:tcMar>
              <w:left w:w="85" w:type="dxa"/>
              <w:right w:w="85" w:type="dxa"/>
            </w:tcMar>
            <w:vAlign w:val="bottom"/>
          </w:tcPr>
          <w:p>
            <w:pPr>
              <w:pStyle w:val="87"/>
              <w:snapToGrid w:val="0"/>
              <w:ind w:firstLine="422" w:firstLineChars="200"/>
              <w:rPr>
                <w:rFonts w:ascii="楷体" w:hAnsi="楷体" w:eastAsia="楷体"/>
                <w:b/>
              </w:rPr>
            </w:pPr>
          </w:p>
        </w:tc>
        <w:tc>
          <w:tcPr>
            <w:tcW w:w="1568" w:type="dxa"/>
            <w:tcMar>
              <w:left w:w="85" w:type="dxa"/>
              <w:right w:w="85" w:type="dxa"/>
            </w:tcMar>
            <w:vAlign w:val="bottom"/>
          </w:tcPr>
          <w:p>
            <w:pPr>
              <w:pStyle w:val="87"/>
              <w:snapToGrid w:val="0"/>
              <w:ind w:firstLine="422" w:firstLineChars="200"/>
              <w:rPr>
                <w:rFonts w:ascii="楷体" w:hAnsi="楷体" w:eastAsia="楷体"/>
                <w:b/>
              </w:rPr>
            </w:pPr>
          </w:p>
        </w:tc>
        <w:tc>
          <w:tcPr>
            <w:tcW w:w="1725" w:type="dxa"/>
            <w:tcMar>
              <w:left w:w="170" w:type="dxa"/>
              <w:right w:w="85" w:type="dxa"/>
            </w:tcMar>
            <w:vAlign w:val="bottom"/>
          </w:tcPr>
          <w:p>
            <w:pPr>
              <w:pStyle w:val="87"/>
              <w:snapToGrid w:val="0"/>
              <w:ind w:firstLine="422" w:firstLineChars="200"/>
              <w:rPr>
                <w:rFonts w:ascii="楷体" w:hAnsi="楷体" w:eastAsia="楷体"/>
                <w:b/>
              </w:rPr>
            </w:pPr>
          </w:p>
        </w:tc>
        <w:tc>
          <w:tcPr>
            <w:tcW w:w="1198" w:type="dxa"/>
            <w:tcMar>
              <w:left w:w="170" w:type="dxa"/>
              <w:right w:w="85" w:type="dxa"/>
            </w:tcMar>
            <w:vAlign w:val="bottom"/>
          </w:tcPr>
          <w:p>
            <w:pPr>
              <w:pStyle w:val="87"/>
              <w:snapToGrid w:val="0"/>
              <w:ind w:firstLine="422" w:firstLineChars="200"/>
              <w:rPr>
                <w:rFonts w:ascii="楷体" w:hAnsi="楷体" w:eastAsia="楷体"/>
                <w:b/>
              </w:rPr>
            </w:pPr>
          </w:p>
        </w:tc>
        <w:tc>
          <w:tcPr>
            <w:tcW w:w="1161" w:type="dxa"/>
            <w:tcMar>
              <w:left w:w="170" w:type="dxa"/>
              <w:right w:w="85" w:type="dxa"/>
            </w:tcMar>
            <w:vAlign w:val="bottom"/>
          </w:tcPr>
          <w:p>
            <w:pPr>
              <w:pStyle w:val="87"/>
              <w:snapToGrid w:val="0"/>
              <w:ind w:firstLine="422" w:firstLineChars="200"/>
              <w:rPr>
                <w:rFonts w:ascii="楷体" w:hAnsi="楷体" w:eastAsia="楷体"/>
                <w:b/>
              </w:rPr>
            </w:pPr>
          </w:p>
        </w:tc>
        <w:tc>
          <w:tcPr>
            <w:tcW w:w="1495" w:type="dxa"/>
            <w:tcMar>
              <w:left w:w="170" w:type="dxa"/>
              <w:right w:w="85" w:type="dxa"/>
            </w:tcMar>
            <w:vAlign w:val="bottom"/>
          </w:tcPr>
          <w:p>
            <w:pPr>
              <w:pStyle w:val="87"/>
              <w:snapToGrid w:val="0"/>
              <w:ind w:firstLine="422" w:firstLineChars="200"/>
              <w:rPr>
                <w:rFonts w:ascii="楷体" w:hAnsi="楷体" w:eastAsia="楷体"/>
                <w:b/>
              </w:rPr>
            </w:pPr>
          </w:p>
        </w:tc>
        <w:tc>
          <w:tcPr>
            <w:tcW w:w="2757"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8" w:type="dxa"/>
            <w:tcMar>
              <w:left w:w="85" w:type="dxa"/>
              <w:right w:w="85" w:type="dxa"/>
            </w:tcMar>
            <w:vAlign w:val="bottom"/>
          </w:tcPr>
          <w:p>
            <w:pPr>
              <w:pStyle w:val="87"/>
              <w:snapToGrid w:val="0"/>
              <w:ind w:firstLine="422" w:firstLineChars="200"/>
              <w:rPr>
                <w:rFonts w:ascii="楷体" w:hAnsi="楷体" w:eastAsia="楷体"/>
                <w:b/>
              </w:rPr>
            </w:pPr>
          </w:p>
        </w:tc>
        <w:tc>
          <w:tcPr>
            <w:tcW w:w="1568" w:type="dxa"/>
            <w:tcMar>
              <w:left w:w="85" w:type="dxa"/>
              <w:right w:w="85" w:type="dxa"/>
            </w:tcMar>
            <w:vAlign w:val="bottom"/>
          </w:tcPr>
          <w:p>
            <w:pPr>
              <w:pStyle w:val="87"/>
              <w:snapToGrid w:val="0"/>
              <w:ind w:firstLine="422" w:firstLineChars="200"/>
              <w:rPr>
                <w:rFonts w:ascii="楷体" w:hAnsi="楷体" w:eastAsia="楷体"/>
                <w:b/>
              </w:rPr>
            </w:pPr>
          </w:p>
        </w:tc>
        <w:tc>
          <w:tcPr>
            <w:tcW w:w="1725" w:type="dxa"/>
            <w:tcMar>
              <w:left w:w="170" w:type="dxa"/>
              <w:right w:w="85" w:type="dxa"/>
            </w:tcMar>
            <w:vAlign w:val="bottom"/>
          </w:tcPr>
          <w:p>
            <w:pPr>
              <w:pStyle w:val="87"/>
              <w:snapToGrid w:val="0"/>
              <w:ind w:firstLine="422" w:firstLineChars="200"/>
              <w:rPr>
                <w:rFonts w:ascii="楷体" w:hAnsi="楷体" w:eastAsia="楷体"/>
                <w:b/>
              </w:rPr>
            </w:pPr>
          </w:p>
        </w:tc>
        <w:tc>
          <w:tcPr>
            <w:tcW w:w="1198" w:type="dxa"/>
            <w:tcMar>
              <w:left w:w="170" w:type="dxa"/>
              <w:right w:w="85" w:type="dxa"/>
            </w:tcMar>
            <w:vAlign w:val="bottom"/>
          </w:tcPr>
          <w:p>
            <w:pPr>
              <w:pStyle w:val="87"/>
              <w:snapToGrid w:val="0"/>
              <w:ind w:firstLine="422" w:firstLineChars="200"/>
              <w:rPr>
                <w:rFonts w:ascii="楷体" w:hAnsi="楷体" w:eastAsia="楷体"/>
                <w:b/>
              </w:rPr>
            </w:pPr>
          </w:p>
        </w:tc>
        <w:tc>
          <w:tcPr>
            <w:tcW w:w="1161" w:type="dxa"/>
            <w:tcMar>
              <w:left w:w="170" w:type="dxa"/>
              <w:right w:w="85" w:type="dxa"/>
            </w:tcMar>
            <w:vAlign w:val="bottom"/>
          </w:tcPr>
          <w:p>
            <w:pPr>
              <w:pStyle w:val="87"/>
              <w:snapToGrid w:val="0"/>
              <w:ind w:firstLine="422" w:firstLineChars="200"/>
              <w:rPr>
                <w:rFonts w:ascii="楷体" w:hAnsi="楷体" w:eastAsia="楷体"/>
                <w:b/>
              </w:rPr>
            </w:pPr>
          </w:p>
        </w:tc>
        <w:tc>
          <w:tcPr>
            <w:tcW w:w="1495" w:type="dxa"/>
            <w:tcMar>
              <w:left w:w="170" w:type="dxa"/>
              <w:right w:w="85" w:type="dxa"/>
            </w:tcMar>
            <w:vAlign w:val="bottom"/>
          </w:tcPr>
          <w:p>
            <w:pPr>
              <w:pStyle w:val="87"/>
              <w:snapToGrid w:val="0"/>
              <w:ind w:firstLine="422" w:firstLineChars="200"/>
              <w:rPr>
                <w:rFonts w:ascii="楷体" w:hAnsi="楷体" w:eastAsia="楷体"/>
                <w:b/>
              </w:rPr>
            </w:pPr>
          </w:p>
        </w:tc>
        <w:tc>
          <w:tcPr>
            <w:tcW w:w="2757"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8" w:type="dxa"/>
            <w:tcMar>
              <w:left w:w="85" w:type="dxa"/>
              <w:right w:w="85" w:type="dxa"/>
            </w:tcMar>
            <w:vAlign w:val="bottom"/>
          </w:tcPr>
          <w:p>
            <w:pPr>
              <w:pStyle w:val="87"/>
              <w:snapToGrid w:val="0"/>
              <w:ind w:firstLine="422" w:firstLineChars="200"/>
              <w:rPr>
                <w:rFonts w:ascii="楷体" w:hAnsi="楷体" w:eastAsia="楷体"/>
                <w:b/>
              </w:rPr>
            </w:pPr>
          </w:p>
        </w:tc>
        <w:tc>
          <w:tcPr>
            <w:tcW w:w="1568" w:type="dxa"/>
            <w:tcMar>
              <w:left w:w="85" w:type="dxa"/>
              <w:right w:w="85" w:type="dxa"/>
            </w:tcMar>
            <w:vAlign w:val="bottom"/>
          </w:tcPr>
          <w:p>
            <w:pPr>
              <w:pStyle w:val="87"/>
              <w:snapToGrid w:val="0"/>
              <w:ind w:firstLine="422" w:firstLineChars="200"/>
              <w:rPr>
                <w:rFonts w:ascii="楷体" w:hAnsi="楷体" w:eastAsia="楷体"/>
                <w:b/>
              </w:rPr>
            </w:pPr>
          </w:p>
        </w:tc>
        <w:tc>
          <w:tcPr>
            <w:tcW w:w="1725" w:type="dxa"/>
            <w:tcMar>
              <w:left w:w="170" w:type="dxa"/>
              <w:right w:w="85" w:type="dxa"/>
            </w:tcMar>
            <w:vAlign w:val="bottom"/>
          </w:tcPr>
          <w:p>
            <w:pPr>
              <w:pStyle w:val="87"/>
              <w:snapToGrid w:val="0"/>
              <w:ind w:firstLine="422" w:firstLineChars="200"/>
              <w:rPr>
                <w:rFonts w:ascii="楷体" w:hAnsi="楷体" w:eastAsia="楷体"/>
                <w:b/>
              </w:rPr>
            </w:pPr>
          </w:p>
        </w:tc>
        <w:tc>
          <w:tcPr>
            <w:tcW w:w="1198" w:type="dxa"/>
            <w:tcMar>
              <w:left w:w="170" w:type="dxa"/>
              <w:right w:w="85" w:type="dxa"/>
            </w:tcMar>
            <w:vAlign w:val="bottom"/>
          </w:tcPr>
          <w:p>
            <w:pPr>
              <w:pStyle w:val="87"/>
              <w:snapToGrid w:val="0"/>
              <w:ind w:firstLine="422" w:firstLineChars="200"/>
              <w:rPr>
                <w:rFonts w:ascii="楷体" w:hAnsi="楷体" w:eastAsia="楷体"/>
                <w:b/>
              </w:rPr>
            </w:pPr>
          </w:p>
        </w:tc>
        <w:tc>
          <w:tcPr>
            <w:tcW w:w="1161" w:type="dxa"/>
            <w:tcMar>
              <w:left w:w="170" w:type="dxa"/>
              <w:right w:w="85" w:type="dxa"/>
            </w:tcMar>
            <w:vAlign w:val="bottom"/>
          </w:tcPr>
          <w:p>
            <w:pPr>
              <w:pStyle w:val="87"/>
              <w:snapToGrid w:val="0"/>
              <w:ind w:firstLine="422" w:firstLineChars="200"/>
              <w:rPr>
                <w:rFonts w:ascii="楷体" w:hAnsi="楷体" w:eastAsia="楷体"/>
                <w:b/>
              </w:rPr>
            </w:pPr>
          </w:p>
        </w:tc>
        <w:tc>
          <w:tcPr>
            <w:tcW w:w="1495" w:type="dxa"/>
            <w:tcMar>
              <w:left w:w="170" w:type="dxa"/>
              <w:right w:w="85" w:type="dxa"/>
            </w:tcMar>
            <w:vAlign w:val="bottom"/>
          </w:tcPr>
          <w:p>
            <w:pPr>
              <w:pStyle w:val="87"/>
              <w:snapToGrid w:val="0"/>
              <w:ind w:firstLine="422" w:firstLineChars="200"/>
              <w:rPr>
                <w:rFonts w:ascii="楷体" w:hAnsi="楷体" w:eastAsia="楷体"/>
                <w:b/>
              </w:rPr>
            </w:pPr>
          </w:p>
        </w:tc>
        <w:tc>
          <w:tcPr>
            <w:tcW w:w="2757"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8" w:type="dxa"/>
            <w:tcMar>
              <w:left w:w="85" w:type="dxa"/>
              <w:right w:w="85" w:type="dxa"/>
            </w:tcMar>
            <w:vAlign w:val="bottom"/>
          </w:tcPr>
          <w:p>
            <w:pPr>
              <w:pStyle w:val="87"/>
              <w:snapToGrid w:val="0"/>
              <w:ind w:firstLine="422" w:firstLineChars="200"/>
              <w:rPr>
                <w:rFonts w:ascii="楷体" w:hAnsi="楷体" w:eastAsia="楷体"/>
                <w:b/>
              </w:rPr>
            </w:pPr>
          </w:p>
        </w:tc>
        <w:tc>
          <w:tcPr>
            <w:tcW w:w="1568" w:type="dxa"/>
            <w:tcMar>
              <w:left w:w="85" w:type="dxa"/>
              <w:right w:w="85" w:type="dxa"/>
            </w:tcMar>
            <w:vAlign w:val="bottom"/>
          </w:tcPr>
          <w:p>
            <w:pPr>
              <w:pStyle w:val="87"/>
              <w:snapToGrid w:val="0"/>
              <w:ind w:firstLine="422" w:firstLineChars="200"/>
              <w:rPr>
                <w:rFonts w:ascii="楷体" w:hAnsi="楷体" w:eastAsia="楷体"/>
                <w:b/>
              </w:rPr>
            </w:pPr>
          </w:p>
        </w:tc>
        <w:tc>
          <w:tcPr>
            <w:tcW w:w="1725" w:type="dxa"/>
            <w:tcMar>
              <w:left w:w="170" w:type="dxa"/>
              <w:right w:w="85" w:type="dxa"/>
            </w:tcMar>
            <w:vAlign w:val="bottom"/>
          </w:tcPr>
          <w:p>
            <w:pPr>
              <w:pStyle w:val="87"/>
              <w:snapToGrid w:val="0"/>
              <w:ind w:firstLine="422" w:firstLineChars="200"/>
              <w:rPr>
                <w:rFonts w:ascii="楷体" w:hAnsi="楷体" w:eastAsia="楷体"/>
                <w:b/>
              </w:rPr>
            </w:pPr>
          </w:p>
        </w:tc>
        <w:tc>
          <w:tcPr>
            <w:tcW w:w="1198" w:type="dxa"/>
            <w:tcMar>
              <w:left w:w="170" w:type="dxa"/>
              <w:right w:w="85" w:type="dxa"/>
            </w:tcMar>
            <w:vAlign w:val="bottom"/>
          </w:tcPr>
          <w:p>
            <w:pPr>
              <w:pStyle w:val="87"/>
              <w:snapToGrid w:val="0"/>
              <w:ind w:firstLine="422" w:firstLineChars="200"/>
              <w:rPr>
                <w:rFonts w:ascii="楷体" w:hAnsi="楷体" w:eastAsia="楷体"/>
                <w:b/>
              </w:rPr>
            </w:pPr>
          </w:p>
        </w:tc>
        <w:tc>
          <w:tcPr>
            <w:tcW w:w="1161" w:type="dxa"/>
            <w:tcMar>
              <w:left w:w="170" w:type="dxa"/>
              <w:right w:w="85" w:type="dxa"/>
            </w:tcMar>
            <w:vAlign w:val="bottom"/>
          </w:tcPr>
          <w:p>
            <w:pPr>
              <w:pStyle w:val="87"/>
              <w:snapToGrid w:val="0"/>
              <w:ind w:firstLine="422" w:firstLineChars="200"/>
              <w:rPr>
                <w:rFonts w:ascii="楷体" w:hAnsi="楷体" w:eastAsia="楷体"/>
                <w:b/>
              </w:rPr>
            </w:pPr>
          </w:p>
        </w:tc>
        <w:tc>
          <w:tcPr>
            <w:tcW w:w="1495" w:type="dxa"/>
            <w:tcMar>
              <w:left w:w="170" w:type="dxa"/>
              <w:right w:w="85" w:type="dxa"/>
            </w:tcMar>
            <w:vAlign w:val="bottom"/>
          </w:tcPr>
          <w:p>
            <w:pPr>
              <w:pStyle w:val="87"/>
              <w:snapToGrid w:val="0"/>
              <w:ind w:firstLine="422" w:firstLineChars="200"/>
              <w:rPr>
                <w:rFonts w:ascii="楷体" w:hAnsi="楷体" w:eastAsia="楷体"/>
                <w:b/>
              </w:rPr>
            </w:pPr>
          </w:p>
        </w:tc>
        <w:tc>
          <w:tcPr>
            <w:tcW w:w="2757"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8" w:type="dxa"/>
            <w:tcMar>
              <w:left w:w="85" w:type="dxa"/>
              <w:right w:w="85" w:type="dxa"/>
            </w:tcMar>
            <w:vAlign w:val="center"/>
          </w:tcPr>
          <w:p>
            <w:pPr>
              <w:pStyle w:val="87"/>
              <w:snapToGrid w:val="0"/>
              <w:ind w:firstLine="422" w:firstLineChars="200"/>
              <w:rPr>
                <w:rFonts w:ascii="楷体" w:hAnsi="楷体" w:eastAsia="楷体"/>
                <w:b/>
              </w:rPr>
            </w:pPr>
          </w:p>
        </w:tc>
        <w:tc>
          <w:tcPr>
            <w:tcW w:w="1568" w:type="dxa"/>
            <w:tcMar>
              <w:left w:w="85" w:type="dxa"/>
              <w:right w:w="85" w:type="dxa"/>
            </w:tcMar>
            <w:vAlign w:val="bottom"/>
          </w:tcPr>
          <w:p>
            <w:pPr>
              <w:pStyle w:val="87"/>
              <w:snapToGrid w:val="0"/>
              <w:ind w:firstLine="422" w:firstLineChars="200"/>
              <w:rPr>
                <w:rFonts w:ascii="楷体" w:hAnsi="楷体" w:eastAsia="楷体"/>
                <w:b/>
              </w:rPr>
            </w:pPr>
          </w:p>
        </w:tc>
        <w:tc>
          <w:tcPr>
            <w:tcW w:w="1725" w:type="dxa"/>
            <w:tcMar>
              <w:left w:w="170" w:type="dxa"/>
              <w:right w:w="85" w:type="dxa"/>
            </w:tcMar>
            <w:vAlign w:val="bottom"/>
          </w:tcPr>
          <w:p>
            <w:pPr>
              <w:pStyle w:val="87"/>
              <w:snapToGrid w:val="0"/>
              <w:ind w:firstLine="422" w:firstLineChars="200"/>
              <w:rPr>
                <w:rFonts w:ascii="楷体" w:hAnsi="楷体" w:eastAsia="楷体"/>
                <w:b/>
              </w:rPr>
            </w:pPr>
          </w:p>
        </w:tc>
        <w:tc>
          <w:tcPr>
            <w:tcW w:w="1198" w:type="dxa"/>
            <w:tcMar>
              <w:left w:w="170" w:type="dxa"/>
              <w:right w:w="85" w:type="dxa"/>
            </w:tcMar>
            <w:vAlign w:val="bottom"/>
          </w:tcPr>
          <w:p>
            <w:pPr>
              <w:pStyle w:val="87"/>
              <w:snapToGrid w:val="0"/>
              <w:ind w:firstLine="422" w:firstLineChars="200"/>
              <w:rPr>
                <w:rFonts w:ascii="楷体" w:hAnsi="楷体" w:eastAsia="楷体"/>
                <w:b/>
              </w:rPr>
            </w:pPr>
          </w:p>
        </w:tc>
        <w:tc>
          <w:tcPr>
            <w:tcW w:w="1161" w:type="dxa"/>
            <w:tcMar>
              <w:left w:w="170" w:type="dxa"/>
              <w:right w:w="85" w:type="dxa"/>
            </w:tcMar>
            <w:vAlign w:val="bottom"/>
          </w:tcPr>
          <w:p>
            <w:pPr>
              <w:pStyle w:val="87"/>
              <w:snapToGrid w:val="0"/>
              <w:ind w:firstLine="422" w:firstLineChars="200"/>
              <w:rPr>
                <w:rFonts w:ascii="楷体" w:hAnsi="楷体" w:eastAsia="楷体"/>
                <w:b/>
              </w:rPr>
            </w:pPr>
          </w:p>
        </w:tc>
        <w:tc>
          <w:tcPr>
            <w:tcW w:w="1495" w:type="dxa"/>
            <w:tcMar>
              <w:left w:w="170" w:type="dxa"/>
              <w:right w:w="85" w:type="dxa"/>
            </w:tcMar>
            <w:vAlign w:val="bottom"/>
          </w:tcPr>
          <w:p>
            <w:pPr>
              <w:pStyle w:val="87"/>
              <w:snapToGrid w:val="0"/>
              <w:ind w:firstLine="422" w:firstLineChars="200"/>
              <w:rPr>
                <w:rFonts w:ascii="楷体" w:hAnsi="楷体" w:eastAsia="楷体"/>
                <w:b/>
              </w:rPr>
            </w:pPr>
          </w:p>
        </w:tc>
        <w:tc>
          <w:tcPr>
            <w:tcW w:w="2757"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8" w:type="dxa"/>
            <w:tcMar>
              <w:left w:w="85" w:type="dxa"/>
              <w:right w:w="85" w:type="dxa"/>
            </w:tcMar>
            <w:vAlign w:val="center"/>
          </w:tcPr>
          <w:p>
            <w:pPr>
              <w:pStyle w:val="87"/>
              <w:snapToGrid w:val="0"/>
              <w:ind w:firstLine="422" w:firstLineChars="200"/>
              <w:rPr>
                <w:rFonts w:ascii="楷体" w:hAnsi="楷体" w:eastAsia="楷体"/>
                <w:b/>
              </w:rPr>
            </w:pPr>
          </w:p>
        </w:tc>
        <w:tc>
          <w:tcPr>
            <w:tcW w:w="1568" w:type="dxa"/>
            <w:tcMar>
              <w:left w:w="85" w:type="dxa"/>
              <w:right w:w="85" w:type="dxa"/>
            </w:tcMar>
            <w:vAlign w:val="bottom"/>
          </w:tcPr>
          <w:p>
            <w:pPr>
              <w:pStyle w:val="87"/>
              <w:snapToGrid w:val="0"/>
              <w:ind w:firstLine="422" w:firstLineChars="200"/>
              <w:rPr>
                <w:rFonts w:ascii="楷体" w:hAnsi="楷体" w:eastAsia="楷体"/>
                <w:b/>
              </w:rPr>
            </w:pPr>
          </w:p>
        </w:tc>
        <w:tc>
          <w:tcPr>
            <w:tcW w:w="1725" w:type="dxa"/>
            <w:tcMar>
              <w:left w:w="170" w:type="dxa"/>
              <w:right w:w="85" w:type="dxa"/>
            </w:tcMar>
            <w:vAlign w:val="bottom"/>
          </w:tcPr>
          <w:p>
            <w:pPr>
              <w:pStyle w:val="87"/>
              <w:snapToGrid w:val="0"/>
              <w:ind w:firstLine="422" w:firstLineChars="200"/>
              <w:rPr>
                <w:rFonts w:ascii="楷体" w:hAnsi="楷体" w:eastAsia="楷体"/>
                <w:b/>
              </w:rPr>
            </w:pPr>
          </w:p>
        </w:tc>
        <w:tc>
          <w:tcPr>
            <w:tcW w:w="1198" w:type="dxa"/>
            <w:tcMar>
              <w:left w:w="170" w:type="dxa"/>
              <w:right w:w="85" w:type="dxa"/>
            </w:tcMar>
            <w:vAlign w:val="bottom"/>
          </w:tcPr>
          <w:p>
            <w:pPr>
              <w:pStyle w:val="87"/>
              <w:snapToGrid w:val="0"/>
              <w:ind w:firstLine="422" w:firstLineChars="200"/>
              <w:rPr>
                <w:rFonts w:ascii="楷体" w:hAnsi="楷体" w:eastAsia="楷体"/>
                <w:b/>
              </w:rPr>
            </w:pPr>
          </w:p>
        </w:tc>
        <w:tc>
          <w:tcPr>
            <w:tcW w:w="1161" w:type="dxa"/>
            <w:tcMar>
              <w:left w:w="170" w:type="dxa"/>
              <w:right w:w="85" w:type="dxa"/>
            </w:tcMar>
            <w:vAlign w:val="bottom"/>
          </w:tcPr>
          <w:p>
            <w:pPr>
              <w:pStyle w:val="87"/>
              <w:snapToGrid w:val="0"/>
              <w:ind w:firstLine="422" w:firstLineChars="200"/>
              <w:rPr>
                <w:rFonts w:ascii="楷体" w:hAnsi="楷体" w:eastAsia="楷体"/>
                <w:b/>
              </w:rPr>
            </w:pPr>
          </w:p>
        </w:tc>
        <w:tc>
          <w:tcPr>
            <w:tcW w:w="1495" w:type="dxa"/>
            <w:tcMar>
              <w:left w:w="170" w:type="dxa"/>
              <w:right w:w="85" w:type="dxa"/>
            </w:tcMar>
            <w:vAlign w:val="bottom"/>
          </w:tcPr>
          <w:p>
            <w:pPr>
              <w:pStyle w:val="87"/>
              <w:snapToGrid w:val="0"/>
              <w:ind w:firstLine="422" w:firstLineChars="200"/>
              <w:rPr>
                <w:rFonts w:ascii="楷体" w:hAnsi="楷体" w:eastAsia="楷体"/>
                <w:b/>
              </w:rPr>
            </w:pPr>
          </w:p>
        </w:tc>
        <w:tc>
          <w:tcPr>
            <w:tcW w:w="2757"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8" w:type="dxa"/>
            <w:tcMar>
              <w:left w:w="85" w:type="dxa"/>
              <w:right w:w="85" w:type="dxa"/>
            </w:tcMar>
            <w:vAlign w:val="center"/>
          </w:tcPr>
          <w:p>
            <w:pPr>
              <w:pStyle w:val="87"/>
              <w:snapToGrid w:val="0"/>
              <w:ind w:firstLine="422" w:firstLineChars="200"/>
              <w:rPr>
                <w:rFonts w:ascii="楷体" w:hAnsi="楷体" w:eastAsia="楷体"/>
                <w:b/>
              </w:rPr>
            </w:pPr>
          </w:p>
        </w:tc>
        <w:tc>
          <w:tcPr>
            <w:tcW w:w="1568" w:type="dxa"/>
            <w:tcMar>
              <w:left w:w="85" w:type="dxa"/>
              <w:right w:w="85" w:type="dxa"/>
            </w:tcMar>
            <w:vAlign w:val="bottom"/>
          </w:tcPr>
          <w:p>
            <w:pPr>
              <w:pStyle w:val="87"/>
              <w:snapToGrid w:val="0"/>
              <w:ind w:firstLine="422" w:firstLineChars="200"/>
              <w:rPr>
                <w:rFonts w:ascii="楷体" w:hAnsi="楷体" w:eastAsia="楷体"/>
                <w:b/>
              </w:rPr>
            </w:pPr>
          </w:p>
        </w:tc>
        <w:tc>
          <w:tcPr>
            <w:tcW w:w="1725" w:type="dxa"/>
            <w:tcMar>
              <w:left w:w="170" w:type="dxa"/>
              <w:right w:w="85" w:type="dxa"/>
            </w:tcMar>
            <w:vAlign w:val="bottom"/>
          </w:tcPr>
          <w:p>
            <w:pPr>
              <w:pStyle w:val="87"/>
              <w:snapToGrid w:val="0"/>
              <w:ind w:firstLine="422" w:firstLineChars="200"/>
              <w:rPr>
                <w:rFonts w:ascii="楷体" w:hAnsi="楷体" w:eastAsia="楷体"/>
                <w:b/>
              </w:rPr>
            </w:pPr>
          </w:p>
        </w:tc>
        <w:tc>
          <w:tcPr>
            <w:tcW w:w="1198" w:type="dxa"/>
            <w:tcMar>
              <w:left w:w="170" w:type="dxa"/>
              <w:right w:w="85" w:type="dxa"/>
            </w:tcMar>
            <w:vAlign w:val="bottom"/>
          </w:tcPr>
          <w:p>
            <w:pPr>
              <w:pStyle w:val="87"/>
              <w:snapToGrid w:val="0"/>
              <w:ind w:firstLine="422" w:firstLineChars="200"/>
              <w:rPr>
                <w:rFonts w:ascii="楷体" w:hAnsi="楷体" w:eastAsia="楷体"/>
                <w:b/>
              </w:rPr>
            </w:pPr>
          </w:p>
        </w:tc>
        <w:tc>
          <w:tcPr>
            <w:tcW w:w="1161" w:type="dxa"/>
            <w:tcMar>
              <w:left w:w="170" w:type="dxa"/>
              <w:right w:w="85" w:type="dxa"/>
            </w:tcMar>
            <w:vAlign w:val="bottom"/>
          </w:tcPr>
          <w:p>
            <w:pPr>
              <w:pStyle w:val="87"/>
              <w:snapToGrid w:val="0"/>
              <w:ind w:firstLine="422" w:firstLineChars="200"/>
              <w:rPr>
                <w:rFonts w:ascii="楷体" w:hAnsi="楷体" w:eastAsia="楷体"/>
                <w:b/>
              </w:rPr>
            </w:pPr>
          </w:p>
        </w:tc>
        <w:tc>
          <w:tcPr>
            <w:tcW w:w="1495" w:type="dxa"/>
            <w:tcMar>
              <w:left w:w="170" w:type="dxa"/>
              <w:right w:w="85" w:type="dxa"/>
            </w:tcMar>
            <w:vAlign w:val="bottom"/>
          </w:tcPr>
          <w:p>
            <w:pPr>
              <w:pStyle w:val="87"/>
              <w:snapToGrid w:val="0"/>
              <w:ind w:firstLine="422" w:firstLineChars="200"/>
              <w:rPr>
                <w:rFonts w:ascii="楷体" w:hAnsi="楷体" w:eastAsia="楷体"/>
                <w:b/>
              </w:rPr>
            </w:pPr>
          </w:p>
        </w:tc>
        <w:tc>
          <w:tcPr>
            <w:tcW w:w="2757" w:type="dxa"/>
            <w:tcMar>
              <w:left w:w="170" w:type="dxa"/>
              <w:right w:w="85" w:type="dxa"/>
            </w:tcMar>
            <w:vAlign w:val="bottom"/>
          </w:tcPr>
          <w:p>
            <w:pPr>
              <w:pStyle w:val="87"/>
              <w:snapToGrid w:val="0"/>
              <w:ind w:firstLine="422" w:firstLineChars="200"/>
              <w:rPr>
                <w:rFonts w:ascii="楷体" w:hAnsi="楷体" w:eastAsia="楷体"/>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8" w:type="dxa"/>
            <w:tcMar>
              <w:left w:w="85" w:type="dxa"/>
              <w:right w:w="85" w:type="dxa"/>
            </w:tcMar>
            <w:vAlign w:val="center"/>
          </w:tcPr>
          <w:p>
            <w:pPr>
              <w:pStyle w:val="87"/>
              <w:snapToGrid w:val="0"/>
              <w:ind w:firstLine="422" w:firstLineChars="200"/>
              <w:rPr>
                <w:rFonts w:ascii="楷体" w:hAnsi="楷体" w:eastAsia="楷体"/>
                <w:b/>
              </w:rPr>
            </w:pPr>
          </w:p>
        </w:tc>
        <w:tc>
          <w:tcPr>
            <w:tcW w:w="1568" w:type="dxa"/>
            <w:tcMar>
              <w:left w:w="85" w:type="dxa"/>
              <w:right w:w="85" w:type="dxa"/>
            </w:tcMar>
            <w:vAlign w:val="bottom"/>
          </w:tcPr>
          <w:p>
            <w:pPr>
              <w:pStyle w:val="87"/>
              <w:snapToGrid w:val="0"/>
              <w:ind w:firstLine="422" w:firstLineChars="200"/>
              <w:rPr>
                <w:rFonts w:ascii="楷体" w:hAnsi="楷体" w:eastAsia="楷体"/>
                <w:b/>
              </w:rPr>
            </w:pPr>
          </w:p>
        </w:tc>
        <w:tc>
          <w:tcPr>
            <w:tcW w:w="1725" w:type="dxa"/>
            <w:tcMar>
              <w:left w:w="170" w:type="dxa"/>
              <w:right w:w="85" w:type="dxa"/>
            </w:tcMar>
            <w:vAlign w:val="bottom"/>
          </w:tcPr>
          <w:p>
            <w:pPr>
              <w:pStyle w:val="87"/>
              <w:snapToGrid w:val="0"/>
              <w:ind w:firstLine="422" w:firstLineChars="200"/>
              <w:rPr>
                <w:rFonts w:ascii="楷体" w:hAnsi="楷体" w:eastAsia="楷体"/>
                <w:b/>
              </w:rPr>
            </w:pPr>
          </w:p>
        </w:tc>
        <w:tc>
          <w:tcPr>
            <w:tcW w:w="1198" w:type="dxa"/>
            <w:tcMar>
              <w:left w:w="170" w:type="dxa"/>
              <w:right w:w="85" w:type="dxa"/>
            </w:tcMar>
            <w:vAlign w:val="bottom"/>
          </w:tcPr>
          <w:p>
            <w:pPr>
              <w:pStyle w:val="87"/>
              <w:snapToGrid w:val="0"/>
              <w:ind w:firstLine="422" w:firstLineChars="200"/>
              <w:rPr>
                <w:rFonts w:ascii="楷体" w:hAnsi="楷体" w:eastAsia="楷体"/>
                <w:b/>
              </w:rPr>
            </w:pPr>
          </w:p>
        </w:tc>
        <w:tc>
          <w:tcPr>
            <w:tcW w:w="1161" w:type="dxa"/>
            <w:tcMar>
              <w:left w:w="170" w:type="dxa"/>
              <w:right w:w="85" w:type="dxa"/>
            </w:tcMar>
            <w:vAlign w:val="bottom"/>
          </w:tcPr>
          <w:p>
            <w:pPr>
              <w:pStyle w:val="87"/>
              <w:snapToGrid w:val="0"/>
              <w:ind w:firstLine="422" w:firstLineChars="200"/>
              <w:rPr>
                <w:rFonts w:ascii="楷体" w:hAnsi="楷体" w:eastAsia="楷体"/>
                <w:b/>
              </w:rPr>
            </w:pPr>
          </w:p>
        </w:tc>
        <w:tc>
          <w:tcPr>
            <w:tcW w:w="1495" w:type="dxa"/>
            <w:tcMar>
              <w:left w:w="170" w:type="dxa"/>
              <w:right w:w="85" w:type="dxa"/>
            </w:tcMar>
            <w:vAlign w:val="bottom"/>
          </w:tcPr>
          <w:p>
            <w:pPr>
              <w:pStyle w:val="87"/>
              <w:snapToGrid w:val="0"/>
              <w:ind w:firstLine="422" w:firstLineChars="200"/>
              <w:rPr>
                <w:rFonts w:ascii="楷体" w:hAnsi="楷体" w:eastAsia="楷体"/>
                <w:b/>
              </w:rPr>
            </w:pPr>
          </w:p>
        </w:tc>
        <w:tc>
          <w:tcPr>
            <w:tcW w:w="2757" w:type="dxa"/>
            <w:tcMar>
              <w:left w:w="170" w:type="dxa"/>
              <w:right w:w="85" w:type="dxa"/>
            </w:tcMar>
            <w:vAlign w:val="bottom"/>
          </w:tcPr>
          <w:p>
            <w:pPr>
              <w:pStyle w:val="87"/>
              <w:snapToGrid w:val="0"/>
              <w:ind w:firstLine="422" w:firstLineChars="200"/>
              <w:rPr>
                <w:rFonts w:ascii="楷体" w:hAnsi="楷体" w:eastAsia="楷体"/>
                <w:b/>
              </w:rPr>
            </w:pPr>
          </w:p>
        </w:tc>
      </w:tr>
    </w:tbl>
    <w:p>
      <w:pPr>
        <w:spacing w:line="400" w:lineRule="exact"/>
        <w:ind w:firstLine="425"/>
        <w:jc w:val="right"/>
        <w:rPr>
          <w:rFonts w:ascii="楷体" w:hAnsi="楷体"/>
          <w:b/>
        </w:rPr>
      </w:pPr>
    </w:p>
    <w:p>
      <w:pPr>
        <w:spacing w:line="400" w:lineRule="exact"/>
        <w:ind w:firstLine="425"/>
        <w:jc w:val="right"/>
        <w:rPr>
          <w:rFonts w:ascii="楷体" w:hAnsi="楷体"/>
          <w:b/>
        </w:rPr>
      </w:pPr>
    </w:p>
    <w:p>
      <w:pPr>
        <w:spacing w:line="400" w:lineRule="exact"/>
        <w:ind w:firstLine="425"/>
        <w:jc w:val="right"/>
        <w:rPr>
          <w:rFonts w:ascii="楷体" w:hAnsi="楷体"/>
          <w:b/>
        </w:rPr>
      </w:pPr>
      <w:r>
        <w:rPr>
          <w:rFonts w:hint="eastAsia" w:ascii="楷体" w:hAnsi="楷体"/>
          <w:b/>
        </w:rPr>
        <w:t>法定代表人或授权代表签字：____________</w:t>
      </w:r>
    </w:p>
    <w:p>
      <w:pPr>
        <w:spacing w:line="400" w:lineRule="exact"/>
        <w:ind w:firstLine="425"/>
        <w:jc w:val="right"/>
        <w:rPr>
          <w:rFonts w:ascii="楷体" w:hAnsi="楷体"/>
          <w:b/>
        </w:rPr>
      </w:pPr>
      <w:r>
        <w:rPr>
          <w:rFonts w:hint="eastAsia" w:ascii="楷体" w:hAnsi="楷体"/>
          <w:b/>
        </w:rPr>
        <w:t>应答人公章：__</w:t>
      </w:r>
      <w:r>
        <w:rPr>
          <w:rFonts w:hint="eastAsia" w:ascii="楷体" w:hAnsi="楷体"/>
          <w:b/>
          <w:u w:val="single"/>
        </w:rPr>
        <w:t>四川大学</w:t>
      </w:r>
      <w:r>
        <w:rPr>
          <w:rFonts w:hint="eastAsia" w:ascii="楷体" w:hAnsi="楷体"/>
          <w:b/>
        </w:rPr>
        <w:t>____</w:t>
      </w:r>
    </w:p>
    <w:p>
      <w:pPr>
        <w:spacing w:line="400" w:lineRule="exact"/>
        <w:rPr>
          <w:rFonts w:ascii="楷体" w:hAnsi="楷体"/>
          <w:b/>
          <w:sz w:val="28"/>
        </w:rPr>
      </w:pPr>
    </w:p>
    <w:p>
      <w:pPr>
        <w:spacing w:line="400" w:lineRule="exact"/>
        <w:rPr>
          <w:rFonts w:ascii="楷体" w:hAnsi="楷体"/>
          <w:b/>
          <w:sz w:val="28"/>
        </w:rPr>
      </w:pPr>
    </w:p>
    <w:p>
      <w:pPr>
        <w:spacing w:line="400" w:lineRule="exact"/>
        <w:rPr>
          <w:rFonts w:ascii="楷体" w:hAnsi="楷体"/>
          <w:b/>
          <w:sz w:val="28"/>
        </w:rPr>
      </w:pPr>
    </w:p>
    <w:p>
      <w:pPr>
        <w:spacing w:line="400" w:lineRule="exact"/>
        <w:rPr>
          <w:rFonts w:ascii="楷体" w:hAnsi="楷体"/>
          <w:b/>
          <w:sz w:val="28"/>
        </w:rPr>
      </w:pPr>
    </w:p>
    <w:p>
      <w:pPr>
        <w:spacing w:line="400" w:lineRule="exact"/>
        <w:rPr>
          <w:rFonts w:ascii="楷体" w:hAnsi="楷体"/>
          <w:b/>
          <w:sz w:val="28"/>
        </w:rPr>
      </w:pPr>
    </w:p>
    <w:p>
      <w:pPr>
        <w:spacing w:line="400" w:lineRule="exact"/>
        <w:rPr>
          <w:rFonts w:ascii="楷体" w:hAnsi="楷体"/>
          <w:b/>
          <w:sz w:val="28"/>
        </w:rPr>
      </w:pPr>
    </w:p>
    <w:p>
      <w:pPr>
        <w:spacing w:line="400" w:lineRule="exact"/>
        <w:rPr>
          <w:rFonts w:ascii="楷体" w:hAnsi="楷体"/>
          <w:b/>
          <w:sz w:val="28"/>
        </w:rPr>
      </w:pPr>
    </w:p>
    <w:p>
      <w:pPr>
        <w:spacing w:line="400" w:lineRule="exact"/>
        <w:rPr>
          <w:rFonts w:ascii="楷体" w:hAnsi="楷体"/>
          <w:b/>
          <w:sz w:val="28"/>
        </w:rPr>
      </w:pPr>
    </w:p>
    <w:p>
      <w:pPr>
        <w:spacing w:line="400" w:lineRule="exact"/>
        <w:rPr>
          <w:rFonts w:ascii="楷体" w:hAnsi="楷体"/>
          <w:b/>
          <w:sz w:val="28"/>
        </w:rPr>
      </w:pPr>
    </w:p>
    <w:p>
      <w:pPr>
        <w:spacing w:line="400" w:lineRule="exact"/>
        <w:rPr>
          <w:rFonts w:ascii="楷体" w:hAnsi="楷体"/>
          <w:b/>
          <w:sz w:val="28"/>
        </w:rPr>
      </w:pPr>
    </w:p>
    <w:p>
      <w:pPr>
        <w:widowControl/>
        <w:jc w:val="left"/>
        <w:rPr>
          <w:rFonts w:ascii="楷体" w:hAnsi="楷体"/>
          <w:b/>
          <w:sz w:val="28"/>
        </w:rPr>
      </w:pPr>
      <w:r>
        <w:rPr>
          <w:rFonts w:ascii="楷体" w:hAnsi="楷体"/>
          <w:b/>
          <w:sz w:val="28"/>
        </w:rPr>
        <w:br w:type="page"/>
      </w:r>
    </w:p>
    <w:p>
      <w:pPr>
        <w:spacing w:line="400" w:lineRule="exact"/>
        <w:rPr>
          <w:rFonts w:ascii="楷体" w:hAnsi="楷体"/>
          <w:b/>
          <w:sz w:val="28"/>
        </w:rPr>
      </w:pPr>
    </w:p>
    <w:p>
      <w:pPr>
        <w:pStyle w:val="4"/>
        <w:tabs>
          <w:tab w:val="left" w:pos="1127"/>
        </w:tabs>
        <w:outlineLvl w:val="0"/>
        <w:rPr>
          <w:rFonts w:ascii="楷体" w:hAnsi="楷体" w:cs="楷体"/>
          <w:bCs/>
          <w:szCs w:val="24"/>
        </w:rPr>
      </w:pPr>
      <w:r>
        <w:rPr>
          <w:rFonts w:ascii="楷体" w:hAnsi="楷体"/>
          <w:sz w:val="28"/>
        </w:rPr>
        <w:tab/>
      </w:r>
      <w:r>
        <w:rPr>
          <w:rFonts w:hint="eastAsia" w:ascii="楷体" w:hAnsi="楷体" w:cs="楷体"/>
          <w:bCs/>
          <w:szCs w:val="24"/>
        </w:rPr>
        <w:t>第二卷  综合应答文件</w:t>
      </w:r>
    </w:p>
    <w:p>
      <w:pPr>
        <w:spacing w:line="400" w:lineRule="exact"/>
        <w:ind w:firstLine="422" w:firstLineChars="200"/>
        <w:rPr>
          <w:rFonts w:ascii="楷体" w:hAnsi="楷体"/>
          <w:b/>
          <w:sz w:val="18"/>
        </w:rPr>
      </w:pPr>
      <w:r>
        <w:rPr>
          <w:rFonts w:hint="eastAsia" w:ascii="楷体" w:hAnsi="楷体"/>
          <w:b/>
        </w:rPr>
        <w:t>综合应答文件包括但不限于以下内容。▲所有证明性文件均需提供原件影印件，并加盖应答人印章。</w:t>
      </w:r>
    </w:p>
    <w:p>
      <w:pPr>
        <w:pStyle w:val="2"/>
      </w:pPr>
      <w:r>
        <w:rPr>
          <w:rFonts w:hint="eastAsia"/>
        </w:rPr>
        <w:t>一、应答人法定代表人授权委托书</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0" w:hRule="atLeast"/>
        </w:trPr>
        <w:tc>
          <w:tcPr>
            <w:tcW w:w="8528" w:type="dxa"/>
          </w:tcPr>
          <w:p>
            <w:pPr>
              <w:rPr>
                <w:rFonts w:ascii="楷体" w:hAnsi="楷体"/>
              </w:rPr>
            </w:pPr>
          </w:p>
          <w:p>
            <w:pPr>
              <w:jc w:val="center"/>
              <w:rPr>
                <w:rFonts w:ascii="楷体" w:hAnsi="楷体"/>
              </w:rPr>
            </w:pPr>
            <w:r>
              <w:rPr>
                <w:rFonts w:ascii="楷体" w:hAnsi="楷体"/>
              </w:rPr>
              <w:t>授权委托书</w:t>
            </w:r>
          </w:p>
          <w:p>
            <w:pPr>
              <w:spacing w:line="440" w:lineRule="exact"/>
              <w:ind w:firstLine="420" w:firstLineChars="200"/>
              <w:rPr>
                <w:rFonts w:ascii="楷体" w:hAnsi="楷体"/>
              </w:rPr>
            </w:pPr>
            <w:r>
              <w:rPr>
                <w:rFonts w:ascii="楷体" w:hAnsi="楷体"/>
              </w:rPr>
              <w:t>本人</w:t>
            </w:r>
            <w:r>
              <w:rPr>
                <w:rFonts w:ascii="楷体" w:hAnsi="楷体"/>
                <w:u w:val="single"/>
              </w:rPr>
              <w:t xml:space="preserve"> （</w:t>
            </w:r>
            <w:r>
              <w:rPr>
                <w:rFonts w:hint="eastAsia" w:ascii="楷体" w:hAnsi="楷体"/>
                <w:u w:val="single"/>
              </w:rPr>
              <w:t>李言荣</w:t>
            </w:r>
            <w:r>
              <w:rPr>
                <w:rFonts w:ascii="楷体" w:hAnsi="楷体"/>
                <w:u w:val="single"/>
              </w:rPr>
              <w:t xml:space="preserve">）  </w:t>
            </w:r>
            <w:r>
              <w:rPr>
                <w:rFonts w:ascii="楷体" w:hAnsi="楷体"/>
              </w:rPr>
              <w:t>系</w:t>
            </w:r>
            <w:r>
              <w:rPr>
                <w:rFonts w:ascii="楷体" w:hAnsi="楷体"/>
                <w:u w:val="single"/>
              </w:rPr>
              <w:t xml:space="preserve">  （</w:t>
            </w:r>
            <w:r>
              <w:rPr>
                <w:rFonts w:hint="eastAsia" w:ascii="楷体" w:hAnsi="楷体"/>
                <w:u w:val="single"/>
              </w:rPr>
              <w:t>四川大学</w:t>
            </w:r>
            <w:r>
              <w:rPr>
                <w:rFonts w:ascii="楷体" w:hAnsi="楷体"/>
                <w:u w:val="single"/>
              </w:rPr>
              <w:t>）</w:t>
            </w:r>
            <w:r>
              <w:rPr>
                <w:rFonts w:hint="eastAsia" w:ascii="楷体" w:hAnsi="楷体"/>
                <w:u w:val="single"/>
              </w:rPr>
              <w:t xml:space="preserve"> </w:t>
            </w:r>
            <w:r>
              <w:rPr>
                <w:rFonts w:ascii="楷体" w:hAnsi="楷体"/>
              </w:rPr>
              <w:t>的法定代表人，现委托</w:t>
            </w:r>
            <w:r>
              <w:rPr>
                <w:rFonts w:ascii="楷体" w:hAnsi="楷体"/>
                <w:u w:val="single"/>
              </w:rPr>
              <w:t>（</w:t>
            </w:r>
            <w:r>
              <w:rPr>
                <w:rFonts w:hint="eastAsia" w:ascii="楷体" w:hAnsi="楷体"/>
                <w:u w:val="single"/>
              </w:rPr>
              <w:t>刘友波</w:t>
            </w:r>
            <w:r>
              <w:rPr>
                <w:rFonts w:ascii="楷体" w:hAnsi="楷体"/>
                <w:u w:val="single"/>
              </w:rPr>
              <w:t>）</w:t>
            </w:r>
            <w:r>
              <w:rPr>
                <w:rFonts w:ascii="楷体" w:hAnsi="楷体"/>
              </w:rPr>
              <w:t>为我方代理人。代理人根据授权，以我方名义签署、澄清</w:t>
            </w:r>
            <w:r>
              <w:rPr>
                <w:rFonts w:hint="eastAsia" w:ascii="楷体" w:hAnsi="楷体"/>
              </w:rPr>
              <w:t>、说明、补正</w:t>
            </w:r>
            <w:r>
              <w:rPr>
                <w:rFonts w:ascii="楷体" w:hAnsi="楷体"/>
              </w:rPr>
              <w:t>、递交、撤回、修改</w:t>
            </w:r>
            <w:r>
              <w:rPr>
                <w:rFonts w:hint="eastAsia" w:ascii="楷体" w:hAnsi="楷体"/>
                <w:u w:val="single"/>
              </w:rPr>
              <w:t xml:space="preserve"> （国网四川成都供电公司变电检修工区</w:t>
            </w:r>
            <w:r>
              <w:rPr>
                <w:rFonts w:ascii="楷体" w:hAnsi="楷体"/>
                <w:u w:val="single"/>
              </w:rPr>
              <w:t>110kV金沙变电站等8座变电站大电流开关柜散热装置控制智能化专项整治服务</w:t>
            </w:r>
            <w:r>
              <w:rPr>
                <w:rFonts w:hint="eastAsia" w:ascii="楷体" w:hAnsi="楷体"/>
                <w:u w:val="single"/>
              </w:rPr>
              <w:t>）</w:t>
            </w:r>
            <w:r>
              <w:rPr>
                <w:rFonts w:hint="eastAsia" w:ascii="楷体" w:hAnsi="楷体"/>
              </w:rPr>
              <w:t>应答</w:t>
            </w:r>
            <w:r>
              <w:rPr>
                <w:rFonts w:ascii="楷体" w:hAnsi="楷体"/>
              </w:rPr>
              <w:t>文件、签订合同和处理有关事宜，其法律后果由我方承担。</w:t>
            </w:r>
          </w:p>
          <w:p>
            <w:pPr>
              <w:spacing w:line="440" w:lineRule="exact"/>
              <w:ind w:firstLine="420" w:firstLineChars="200"/>
              <w:rPr>
                <w:rFonts w:ascii="楷体" w:hAnsi="楷体"/>
              </w:rPr>
            </w:pPr>
            <w:r>
              <w:rPr>
                <w:rFonts w:ascii="楷体" w:hAnsi="楷体"/>
              </w:rPr>
              <w:t>在</w:t>
            </w:r>
            <w:r>
              <w:rPr>
                <w:rFonts w:hint="eastAsia" w:ascii="楷体" w:hAnsi="楷体"/>
              </w:rPr>
              <w:t>采购</w:t>
            </w:r>
            <w:r>
              <w:rPr>
                <w:rFonts w:ascii="楷体" w:hAnsi="楷体"/>
              </w:rPr>
              <w:t>人收到撤销本授权的通知以前，本授权书一直有效。被授权人签署的所有文件、协议和合同（在本授权书有效期内签署的）不因授权的撤销而失效。</w:t>
            </w:r>
          </w:p>
          <w:p>
            <w:pPr>
              <w:spacing w:line="440" w:lineRule="exact"/>
              <w:ind w:firstLine="420" w:firstLineChars="200"/>
              <w:rPr>
                <w:rFonts w:ascii="楷体" w:hAnsi="楷体"/>
              </w:rPr>
            </w:pPr>
            <w:r>
              <w:rPr>
                <w:rFonts w:hint="eastAsia" w:ascii="楷体" w:hAnsi="楷体"/>
              </w:rPr>
              <w:t>若被授权人有两名或两名以上，则任一被授权人签署的有关文件、协议、合同或处理的相关事务均视为同等有效。</w:t>
            </w:r>
            <w:r>
              <w:rPr>
                <w:rFonts w:ascii="楷体" w:hAnsi="楷体"/>
              </w:rPr>
              <w:t>代理人无转委托权。</w:t>
            </w:r>
          </w:p>
          <w:p>
            <w:pPr>
              <w:spacing w:line="440" w:lineRule="exact"/>
              <w:rPr>
                <w:rFonts w:ascii="楷体" w:hAnsi="楷体"/>
              </w:rPr>
            </w:pPr>
            <w:r>
              <w:rPr>
                <w:rFonts w:hint="eastAsia" w:ascii="楷体" w:hAnsi="楷体"/>
              </w:rPr>
              <w:t>应答</w:t>
            </w:r>
            <w:r>
              <w:rPr>
                <w:rFonts w:ascii="楷体" w:hAnsi="楷体"/>
              </w:rPr>
              <w:t>人：</w:t>
            </w:r>
            <w:r>
              <w:rPr>
                <w:rFonts w:ascii="楷体" w:hAnsi="楷体"/>
                <w:u w:val="single"/>
              </w:rPr>
              <w:t xml:space="preserve">       </w:t>
            </w:r>
            <w:r>
              <w:rPr>
                <w:rFonts w:hint="eastAsia" w:ascii="楷体" w:hAnsi="楷体"/>
                <w:u w:val="single"/>
              </w:rPr>
              <w:t>四川大学</w:t>
            </w:r>
            <w:r>
              <w:rPr>
                <w:rFonts w:ascii="楷体" w:hAnsi="楷体"/>
                <w:u w:val="single"/>
              </w:rPr>
              <w:t xml:space="preserve">                </w:t>
            </w:r>
            <w:r>
              <w:rPr>
                <w:rFonts w:ascii="楷体" w:hAnsi="楷体"/>
              </w:rPr>
              <w:t>（盖单位章）</w:t>
            </w:r>
          </w:p>
          <w:p>
            <w:pPr>
              <w:spacing w:line="440" w:lineRule="exact"/>
              <w:rPr>
                <w:rFonts w:ascii="楷体" w:hAnsi="楷体"/>
              </w:rPr>
            </w:pPr>
            <w:r>
              <w:rPr>
                <w:rFonts w:ascii="楷体" w:hAnsi="楷体"/>
              </w:rPr>
              <w:t>法定代表人：</w:t>
            </w:r>
            <w:r>
              <w:rPr>
                <w:rFonts w:ascii="楷体" w:hAnsi="楷体"/>
                <w:u w:val="single"/>
              </w:rPr>
              <w:t xml:space="preserve">             </w:t>
            </w:r>
            <w:r>
              <w:rPr>
                <w:rFonts w:ascii="楷体" w:hAnsi="楷体"/>
              </w:rPr>
              <w:t>（签字）</w:t>
            </w:r>
            <w:r>
              <w:rPr>
                <w:rFonts w:hint="eastAsia" w:ascii="楷体" w:hAnsi="楷体"/>
              </w:rPr>
              <w:t xml:space="preserve">    </w:t>
            </w:r>
            <w:r>
              <w:rPr>
                <w:rFonts w:ascii="楷体" w:hAnsi="楷体"/>
              </w:rPr>
              <w:t>身份证号码：</w:t>
            </w:r>
            <w:r>
              <w:rPr>
                <w:rFonts w:ascii="楷体" w:hAnsi="楷体"/>
                <w:u w:val="single"/>
              </w:rPr>
              <w:t xml:space="preserve">  220104196207100316         </w:t>
            </w:r>
          </w:p>
          <w:p>
            <w:pPr>
              <w:spacing w:line="440" w:lineRule="exact"/>
              <w:rPr>
                <w:rFonts w:ascii="楷体" w:hAnsi="楷体"/>
              </w:rPr>
            </w:pPr>
            <w:r>
              <w:rPr>
                <w:rFonts w:ascii="楷体" w:hAnsi="楷体"/>
              </w:rPr>
              <w:t>委托代理人：</w:t>
            </w:r>
            <w:r>
              <w:rPr>
                <w:rFonts w:ascii="楷体" w:hAnsi="楷体"/>
                <w:u w:val="single"/>
              </w:rPr>
              <w:t xml:space="preserve">             </w:t>
            </w:r>
            <w:r>
              <w:rPr>
                <w:rFonts w:ascii="楷体" w:hAnsi="楷体"/>
              </w:rPr>
              <w:t xml:space="preserve">（签字） </w:t>
            </w:r>
            <w:r>
              <w:rPr>
                <w:rFonts w:hint="eastAsia" w:ascii="楷体" w:hAnsi="楷体"/>
              </w:rPr>
              <w:t xml:space="preserve">   </w:t>
            </w:r>
            <w:r>
              <w:rPr>
                <w:rFonts w:ascii="楷体" w:hAnsi="楷体"/>
              </w:rPr>
              <w:t>身份证号码：</w:t>
            </w:r>
            <w:r>
              <w:rPr>
                <w:rFonts w:ascii="楷体" w:hAnsi="楷体"/>
                <w:u w:val="single"/>
              </w:rPr>
              <w:t xml:space="preserve">  510</w:t>
            </w:r>
            <w:r>
              <w:rPr>
                <w:rFonts w:hint="eastAsia" w:ascii="楷体" w:hAnsi="楷体"/>
                <w:u w:val="single"/>
              </w:rPr>
              <w:t>108198304100012</w:t>
            </w:r>
            <w:r>
              <w:rPr>
                <w:rFonts w:ascii="楷体" w:hAnsi="楷体"/>
                <w:u w:val="single"/>
              </w:rPr>
              <w:t xml:space="preserve">         </w:t>
            </w:r>
          </w:p>
          <w:p>
            <w:pPr>
              <w:spacing w:line="440" w:lineRule="exact"/>
              <w:rPr>
                <w:rFonts w:ascii="楷体" w:hAnsi="楷体"/>
              </w:rPr>
            </w:pPr>
            <w:r>
              <w:rPr>
                <w:rFonts w:ascii="楷体" w:hAnsi="楷体"/>
                <w:u w:val="single"/>
              </w:rPr>
              <w:t xml:space="preserve">  2020  </w:t>
            </w:r>
            <w:r>
              <w:rPr>
                <w:rFonts w:ascii="楷体" w:hAnsi="楷体"/>
              </w:rPr>
              <w:t>年</w:t>
            </w:r>
            <w:r>
              <w:rPr>
                <w:rFonts w:ascii="楷体" w:hAnsi="楷体"/>
                <w:u w:val="single"/>
              </w:rPr>
              <w:t xml:space="preserve">   5 </w:t>
            </w:r>
            <w:r>
              <w:rPr>
                <w:rFonts w:ascii="楷体" w:hAnsi="楷体"/>
              </w:rPr>
              <w:t>月</w:t>
            </w:r>
            <w:r>
              <w:rPr>
                <w:rFonts w:ascii="楷体" w:hAnsi="楷体"/>
                <w:u w:val="single"/>
              </w:rPr>
              <w:t xml:space="preserve">  13 </w:t>
            </w:r>
            <w:r>
              <w:rPr>
                <w:rFonts w:ascii="楷体" w:hAnsi="楷体"/>
              </w:rPr>
              <w:t>日</w:t>
            </w:r>
          </w:p>
        </w:tc>
      </w:tr>
    </w:tbl>
    <w:p>
      <w:pPr>
        <w:pStyle w:val="133"/>
        <w:rPr>
          <w:rFonts w:ascii="楷体" w:hAnsi="楷体" w:eastAsia="楷体"/>
          <w:sz w:val="18"/>
        </w:rPr>
      </w:pPr>
      <w:r>
        <w:rPr>
          <w:rFonts w:hint="eastAsia" w:ascii="楷体" w:hAnsi="楷体" w:eastAsia="楷体"/>
          <w:kern w:val="2"/>
          <w:sz w:val="18"/>
          <w:lang w:eastAsia="zh-CN"/>
        </w:rPr>
        <w:t>注：①若应答代表人为应答单位法定代表人则无需提供；②</w:t>
      </w:r>
      <w:r>
        <w:rPr>
          <w:rFonts w:hint="eastAsia" w:ascii="楷体" w:hAnsi="楷体" w:eastAsia="楷体"/>
          <w:sz w:val="18"/>
        </w:rPr>
        <w:t>提交的同时附法定代表人资格证明书、</w:t>
      </w:r>
      <w:r>
        <w:rPr>
          <w:rFonts w:hint="eastAsia" w:ascii="楷体" w:hAnsi="楷体" w:eastAsia="楷体"/>
          <w:sz w:val="18"/>
          <w:lang w:eastAsia="zh-CN"/>
        </w:rPr>
        <w:t>授权人、被授权人</w:t>
      </w:r>
      <w:r>
        <w:rPr>
          <w:rFonts w:hint="eastAsia" w:ascii="楷体" w:hAnsi="楷体" w:eastAsia="楷体"/>
          <w:sz w:val="18"/>
        </w:rPr>
        <w:t>身份证原件影印件。</w:t>
      </w:r>
    </w:p>
    <w:p>
      <w:pPr>
        <w:widowControl/>
        <w:jc w:val="left"/>
        <w:rPr>
          <w:rFonts w:ascii="宋体" w:hAnsi="宋体"/>
        </w:rPr>
      </w:pPr>
      <w:r>
        <w:rPr>
          <w:rFonts w:ascii="宋体" w:hAnsi="宋体"/>
        </w:rPr>
        <w:br w:type="page"/>
      </w:r>
    </w:p>
    <w:p>
      <w:pPr>
        <w:widowControl/>
        <w:spacing w:line="360" w:lineRule="auto"/>
        <w:ind w:firstLine="3570" w:firstLineChars="1700"/>
        <w:rPr>
          <w:rFonts w:ascii="宋体" w:hAnsi="宋体"/>
        </w:rPr>
      </w:pPr>
    </w:p>
    <w:tbl>
      <w:tblPr>
        <w:tblStyle w:val="49"/>
        <w:tblW w:w="0" w:type="auto"/>
        <w:jc w:val="center"/>
        <w:tblLayout w:type="fixed"/>
        <w:tblCellMar>
          <w:top w:w="0" w:type="dxa"/>
          <w:left w:w="108" w:type="dxa"/>
          <w:bottom w:w="0" w:type="dxa"/>
          <w:right w:w="108" w:type="dxa"/>
        </w:tblCellMar>
      </w:tblPr>
      <w:tblGrid>
        <w:gridCol w:w="4224"/>
        <w:gridCol w:w="4224"/>
      </w:tblGrid>
      <w:tr>
        <w:tblPrEx>
          <w:tblCellMar>
            <w:top w:w="0" w:type="dxa"/>
            <w:left w:w="108" w:type="dxa"/>
            <w:bottom w:w="0" w:type="dxa"/>
            <w:right w:w="108" w:type="dxa"/>
          </w:tblCellMar>
        </w:tblPrEx>
        <w:trPr>
          <w:trHeight w:val="1717" w:hRule="atLeast"/>
          <w:jc w:val="center"/>
        </w:trPr>
        <w:tc>
          <w:tcPr>
            <w:tcW w:w="42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18"/>
                <w:szCs w:val="18"/>
              </w:rPr>
            </w:pPr>
            <w:r>
              <w:rPr>
                <w:rFonts w:ascii="宋体" w:hAnsi="宋体" w:cs="宋体"/>
                <w:kern w:val="0"/>
                <w:sz w:val="18"/>
                <w:szCs w:val="18"/>
              </w:rPr>
              <w:t xml:space="preserve"> </w:t>
            </w:r>
          </w:p>
        </w:tc>
        <w:tc>
          <w:tcPr>
            <w:tcW w:w="422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s="宋体"/>
                <w:kern w:val="0"/>
                <w:sz w:val="18"/>
                <w:szCs w:val="18"/>
              </w:rPr>
            </w:pPr>
          </w:p>
        </w:tc>
      </w:tr>
    </w:tbl>
    <w:p>
      <w:pPr>
        <w:widowControl/>
        <w:jc w:val="center"/>
        <w:textAlignment w:val="center"/>
        <w:rPr>
          <w:rFonts w:ascii="宋体" w:hAnsi="宋体" w:cs="宋体"/>
          <w:kern w:val="0"/>
          <w:sz w:val="18"/>
          <w:szCs w:val="18"/>
        </w:rPr>
      </w:pPr>
    </w:p>
    <w:tbl>
      <w:tblPr>
        <w:tblStyle w:val="49"/>
        <w:tblW w:w="0" w:type="auto"/>
        <w:jc w:val="center"/>
        <w:tblLayout w:type="fixed"/>
        <w:tblCellMar>
          <w:top w:w="0" w:type="dxa"/>
          <w:left w:w="108" w:type="dxa"/>
          <w:bottom w:w="0" w:type="dxa"/>
          <w:right w:w="108" w:type="dxa"/>
        </w:tblCellMar>
      </w:tblPr>
      <w:tblGrid>
        <w:gridCol w:w="4224"/>
        <w:gridCol w:w="4224"/>
      </w:tblGrid>
      <w:tr>
        <w:tblPrEx>
          <w:tblCellMar>
            <w:top w:w="0" w:type="dxa"/>
            <w:left w:w="108" w:type="dxa"/>
            <w:bottom w:w="0" w:type="dxa"/>
            <w:right w:w="108" w:type="dxa"/>
          </w:tblCellMar>
        </w:tblPrEx>
        <w:trPr>
          <w:trHeight w:val="1861" w:hRule="atLeast"/>
          <w:jc w:val="center"/>
        </w:trPr>
        <w:tc>
          <w:tcPr>
            <w:tcW w:w="42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 w:val="18"/>
                <w:szCs w:val="18"/>
              </w:rPr>
            </w:pPr>
          </w:p>
        </w:tc>
        <w:tc>
          <w:tcPr>
            <w:tcW w:w="422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宋体" w:hAnsi="宋体" w:cs="宋体"/>
                <w:kern w:val="0"/>
                <w:sz w:val="18"/>
                <w:szCs w:val="18"/>
              </w:rPr>
            </w:pPr>
            <w:bookmarkStart w:id="19" w:name="_GoBack"/>
            <w:bookmarkEnd w:id="19"/>
          </w:p>
        </w:tc>
      </w:tr>
    </w:tbl>
    <w:p>
      <w:pPr>
        <w:pStyle w:val="133"/>
        <w:rPr>
          <w:rFonts w:ascii="楷体" w:hAnsi="楷体" w:eastAsia="楷体"/>
          <w:sz w:val="18"/>
        </w:rPr>
      </w:pPr>
    </w:p>
    <w:bookmarkEnd w:id="0"/>
    <w:bookmarkEnd w:id="1"/>
    <w:bookmarkEnd w:id="2"/>
    <w:bookmarkEnd w:id="3"/>
    <w:bookmarkEnd w:id="4"/>
    <w:bookmarkEnd w:id="5"/>
    <w:bookmarkEnd w:id="6"/>
    <w:bookmarkEnd w:id="7"/>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pPr>
              <w:spacing w:line="440" w:lineRule="exact"/>
              <w:jc w:val="center"/>
              <w:rPr>
                <w:rFonts w:ascii="楷体" w:hAnsi="楷体"/>
              </w:rPr>
            </w:pPr>
            <w:r>
              <w:rPr>
                <w:rFonts w:hint="eastAsia" w:ascii="楷体" w:hAnsi="楷体"/>
              </w:rPr>
              <w:t>法定代表人资格证明书</w:t>
            </w:r>
          </w:p>
          <w:p>
            <w:pPr>
              <w:spacing w:line="440" w:lineRule="exact"/>
              <w:rPr>
                <w:rFonts w:ascii="楷体" w:hAnsi="楷体"/>
              </w:rPr>
            </w:pPr>
            <w:r>
              <w:rPr>
                <w:rFonts w:hint="eastAsia" w:ascii="楷体" w:hAnsi="楷体"/>
              </w:rPr>
              <w:t>应答</w:t>
            </w:r>
            <w:r>
              <w:rPr>
                <w:rFonts w:ascii="楷体" w:hAnsi="楷体"/>
              </w:rPr>
              <w:t>人名称：</w:t>
            </w:r>
            <w:r>
              <w:rPr>
                <w:rFonts w:ascii="楷体" w:hAnsi="楷体"/>
                <w:u w:val="single"/>
              </w:rPr>
              <w:t xml:space="preserve">   </w:t>
            </w:r>
            <w:r>
              <w:rPr>
                <w:rFonts w:hint="eastAsia" w:ascii="楷体" w:hAnsi="楷体"/>
                <w:u w:val="single"/>
              </w:rPr>
              <w:t>四川大学</w:t>
            </w:r>
            <w:r>
              <w:rPr>
                <w:rFonts w:ascii="楷体" w:hAnsi="楷体"/>
                <w:u w:val="single"/>
              </w:rPr>
              <w:t xml:space="preserve">          </w:t>
            </w:r>
            <w:r>
              <w:rPr>
                <w:rFonts w:ascii="楷体" w:hAnsi="楷体"/>
              </w:rPr>
              <w:t xml:space="preserve"> 单位性质：</w:t>
            </w:r>
            <w:r>
              <w:rPr>
                <w:rFonts w:ascii="楷体" w:hAnsi="楷体"/>
                <w:u w:val="single"/>
              </w:rPr>
              <w:t xml:space="preserve">    </w:t>
            </w:r>
            <w:r>
              <w:rPr>
                <w:rFonts w:hint="eastAsia" w:ascii="楷体" w:hAnsi="楷体"/>
                <w:u w:val="single"/>
              </w:rPr>
              <w:t>事业单位</w:t>
            </w:r>
            <w:r>
              <w:rPr>
                <w:rFonts w:ascii="楷体" w:hAnsi="楷体"/>
                <w:u w:val="single"/>
              </w:rPr>
              <w:t xml:space="preserve">      </w:t>
            </w:r>
          </w:p>
          <w:p>
            <w:pPr>
              <w:spacing w:line="440" w:lineRule="exact"/>
              <w:rPr>
                <w:rFonts w:ascii="楷体" w:hAnsi="楷体"/>
              </w:rPr>
            </w:pPr>
            <w:r>
              <w:rPr>
                <w:rFonts w:ascii="楷体" w:hAnsi="楷体"/>
              </w:rPr>
              <w:t>地址：</w:t>
            </w:r>
            <w:r>
              <w:rPr>
                <w:rFonts w:ascii="楷体" w:hAnsi="楷体"/>
                <w:u w:val="single"/>
              </w:rPr>
              <w:t xml:space="preserve">  </w:t>
            </w:r>
            <w:r>
              <w:rPr>
                <w:rFonts w:hint="eastAsia" w:ascii="楷体" w:hAnsi="楷体"/>
                <w:u w:val="single"/>
              </w:rPr>
              <w:t>四川省成都市一环南路一段</w:t>
            </w:r>
            <w:r>
              <w:rPr>
                <w:rFonts w:ascii="楷体" w:hAnsi="楷体"/>
                <w:u w:val="single"/>
              </w:rPr>
              <w:t xml:space="preserve">24号      </w:t>
            </w:r>
          </w:p>
          <w:p>
            <w:pPr>
              <w:spacing w:line="440" w:lineRule="exact"/>
              <w:rPr>
                <w:rFonts w:ascii="楷体" w:hAnsi="楷体"/>
              </w:rPr>
            </w:pPr>
            <w:r>
              <w:rPr>
                <w:rFonts w:ascii="楷体" w:hAnsi="楷体"/>
              </w:rPr>
              <w:t>成立时间：</w:t>
            </w:r>
            <w:r>
              <w:rPr>
                <w:rFonts w:ascii="楷体" w:hAnsi="楷体"/>
                <w:u w:val="single"/>
              </w:rPr>
              <w:t xml:space="preserve">   1896   </w:t>
            </w:r>
            <w:r>
              <w:rPr>
                <w:rFonts w:ascii="楷体" w:hAnsi="楷体"/>
              </w:rPr>
              <w:t>年</w:t>
            </w:r>
            <w:r>
              <w:rPr>
                <w:rFonts w:ascii="楷体" w:hAnsi="楷体"/>
                <w:u w:val="single"/>
              </w:rPr>
              <w:t xml:space="preserve">   8     </w:t>
            </w:r>
            <w:r>
              <w:rPr>
                <w:rFonts w:ascii="楷体" w:hAnsi="楷体"/>
              </w:rPr>
              <w:t>月</w:t>
            </w:r>
            <w:r>
              <w:rPr>
                <w:rFonts w:ascii="楷体" w:hAnsi="楷体"/>
                <w:u w:val="single"/>
              </w:rPr>
              <w:t xml:space="preserve">  27      </w:t>
            </w:r>
            <w:r>
              <w:rPr>
                <w:rFonts w:ascii="楷体" w:hAnsi="楷体"/>
              </w:rPr>
              <w:t>日</w:t>
            </w:r>
          </w:p>
          <w:p>
            <w:pPr>
              <w:spacing w:line="440" w:lineRule="exact"/>
              <w:rPr>
                <w:rFonts w:ascii="楷体" w:hAnsi="楷体"/>
              </w:rPr>
            </w:pPr>
            <w:r>
              <w:rPr>
                <w:rFonts w:ascii="楷体" w:hAnsi="楷体"/>
              </w:rPr>
              <w:t>经营期限：</w:t>
            </w:r>
            <w:r>
              <w:rPr>
                <w:rFonts w:ascii="楷体" w:hAnsi="楷体"/>
                <w:u w:val="single"/>
              </w:rPr>
              <w:t xml:space="preserve">    1896至永久    </w:t>
            </w:r>
          </w:p>
          <w:p>
            <w:pPr>
              <w:spacing w:line="440" w:lineRule="exact"/>
              <w:rPr>
                <w:rFonts w:ascii="楷体" w:hAnsi="楷体"/>
              </w:rPr>
            </w:pPr>
            <w:r>
              <w:rPr>
                <w:rFonts w:ascii="楷体" w:hAnsi="楷体"/>
              </w:rPr>
              <w:t>姓名：</w:t>
            </w:r>
            <w:r>
              <w:rPr>
                <w:rFonts w:ascii="楷体" w:hAnsi="楷体"/>
                <w:u w:val="single"/>
              </w:rPr>
              <w:t xml:space="preserve">  </w:t>
            </w:r>
            <w:r>
              <w:rPr>
                <w:rFonts w:hint="eastAsia" w:ascii="楷体" w:hAnsi="楷体"/>
                <w:u w:val="single"/>
              </w:rPr>
              <w:t>李言荣</w:t>
            </w:r>
            <w:r>
              <w:rPr>
                <w:rFonts w:ascii="楷体" w:hAnsi="楷体"/>
                <w:u w:val="single"/>
              </w:rPr>
              <w:t xml:space="preserve">  </w:t>
            </w:r>
            <w:r>
              <w:rPr>
                <w:rFonts w:hint="eastAsia" w:ascii="楷体" w:hAnsi="楷体"/>
                <w:u w:val="single"/>
              </w:rPr>
              <w:t xml:space="preserve"> </w:t>
            </w:r>
            <w:r>
              <w:rPr>
                <w:rFonts w:ascii="楷体" w:hAnsi="楷体"/>
              </w:rPr>
              <w:t xml:space="preserve"> 性别：</w:t>
            </w:r>
            <w:r>
              <w:rPr>
                <w:rFonts w:ascii="楷体" w:hAnsi="楷体"/>
                <w:u w:val="single"/>
              </w:rPr>
              <w:t xml:space="preserve">    </w:t>
            </w:r>
            <w:r>
              <w:rPr>
                <w:rFonts w:hint="eastAsia" w:ascii="楷体" w:hAnsi="楷体"/>
                <w:u w:val="single"/>
              </w:rPr>
              <w:t>男</w:t>
            </w:r>
            <w:r>
              <w:rPr>
                <w:rFonts w:ascii="楷体" w:hAnsi="楷体"/>
                <w:u w:val="single"/>
              </w:rPr>
              <w:t xml:space="preserve">     </w:t>
            </w:r>
            <w:r>
              <w:rPr>
                <w:rFonts w:ascii="楷体" w:hAnsi="楷体"/>
              </w:rPr>
              <w:t>年龄：</w:t>
            </w:r>
            <w:r>
              <w:rPr>
                <w:rFonts w:ascii="楷体" w:hAnsi="楷体"/>
                <w:u w:val="single"/>
              </w:rPr>
              <w:t xml:space="preserve">  57      </w:t>
            </w:r>
            <w:r>
              <w:rPr>
                <w:rFonts w:ascii="楷体" w:hAnsi="楷体"/>
              </w:rPr>
              <w:t>职务：</w:t>
            </w:r>
            <w:r>
              <w:rPr>
                <w:rFonts w:ascii="楷体" w:hAnsi="楷体"/>
                <w:u w:val="single"/>
              </w:rPr>
              <w:t xml:space="preserve">   </w:t>
            </w:r>
            <w:r>
              <w:rPr>
                <w:rFonts w:hint="eastAsia" w:ascii="楷体" w:hAnsi="楷体"/>
                <w:u w:val="single"/>
              </w:rPr>
              <w:t>校长</w:t>
            </w:r>
            <w:r>
              <w:rPr>
                <w:rFonts w:ascii="楷体" w:hAnsi="楷体"/>
                <w:u w:val="single"/>
              </w:rPr>
              <w:t xml:space="preserve">     </w:t>
            </w:r>
          </w:p>
          <w:p>
            <w:pPr>
              <w:spacing w:line="440" w:lineRule="exact"/>
              <w:rPr>
                <w:rFonts w:ascii="楷体" w:hAnsi="楷体"/>
              </w:rPr>
            </w:pPr>
            <w:r>
              <w:rPr>
                <w:rFonts w:ascii="楷体" w:hAnsi="楷体"/>
              </w:rPr>
              <w:t>系</w:t>
            </w:r>
            <w:r>
              <w:rPr>
                <w:rFonts w:ascii="楷体" w:hAnsi="楷体"/>
                <w:u w:val="single"/>
              </w:rPr>
              <w:t xml:space="preserve">    </w:t>
            </w:r>
            <w:r>
              <w:rPr>
                <w:rFonts w:hint="eastAsia" w:ascii="楷体" w:hAnsi="楷体"/>
                <w:u w:val="single"/>
              </w:rPr>
              <w:t>四川大学</w:t>
            </w:r>
            <w:r>
              <w:rPr>
                <w:rFonts w:ascii="楷体" w:hAnsi="楷体"/>
                <w:u w:val="single"/>
              </w:rPr>
              <w:t xml:space="preserve">             </w:t>
            </w:r>
            <w:r>
              <w:rPr>
                <w:rFonts w:ascii="楷体" w:hAnsi="楷体"/>
              </w:rPr>
              <w:t xml:space="preserve"> </w:t>
            </w:r>
            <w:r>
              <w:rPr>
                <w:rFonts w:hint="eastAsia" w:ascii="楷体" w:hAnsi="楷体"/>
              </w:rPr>
              <w:t>（应答</w:t>
            </w:r>
            <w:r>
              <w:rPr>
                <w:rFonts w:ascii="楷体" w:hAnsi="楷体"/>
              </w:rPr>
              <w:t>人名称</w:t>
            </w:r>
            <w:r>
              <w:rPr>
                <w:rFonts w:hint="eastAsia" w:ascii="楷体" w:hAnsi="楷体"/>
              </w:rPr>
              <w:t>）</w:t>
            </w:r>
            <w:r>
              <w:rPr>
                <w:rFonts w:ascii="楷体" w:hAnsi="楷体"/>
              </w:rPr>
              <w:t>的法定代表人。</w:t>
            </w:r>
          </w:p>
          <w:p>
            <w:pPr>
              <w:spacing w:line="440" w:lineRule="exact"/>
              <w:ind w:firstLine="420" w:firstLineChars="200"/>
              <w:rPr>
                <w:rFonts w:ascii="楷体" w:hAnsi="楷体"/>
              </w:rPr>
            </w:pPr>
            <w:r>
              <w:rPr>
                <w:rFonts w:ascii="楷体" w:hAnsi="楷体"/>
              </w:rPr>
              <w:t>特此证明。</w:t>
            </w:r>
          </w:p>
          <w:p>
            <w:pPr>
              <w:spacing w:line="440" w:lineRule="exact"/>
              <w:rPr>
                <w:rFonts w:ascii="楷体" w:hAnsi="楷体"/>
              </w:rPr>
            </w:pPr>
            <w:r>
              <w:rPr>
                <w:rFonts w:ascii="楷体" w:hAnsi="楷体"/>
              </w:rPr>
              <w:t xml:space="preserve">                          </w:t>
            </w:r>
            <w:r>
              <w:rPr>
                <w:rFonts w:hint="eastAsia" w:ascii="楷体" w:hAnsi="楷体"/>
              </w:rPr>
              <w:t>应答</w:t>
            </w:r>
            <w:r>
              <w:rPr>
                <w:rFonts w:ascii="楷体" w:hAnsi="楷体"/>
              </w:rPr>
              <w:t>人：</w:t>
            </w:r>
            <w:r>
              <w:rPr>
                <w:rFonts w:ascii="楷体" w:hAnsi="楷体"/>
                <w:u w:val="single"/>
              </w:rPr>
              <w:t xml:space="preserve">    </w:t>
            </w:r>
            <w:r>
              <w:rPr>
                <w:rFonts w:hint="eastAsia" w:ascii="楷体" w:hAnsi="楷体"/>
                <w:u w:val="single"/>
              </w:rPr>
              <w:t>四川大学</w:t>
            </w:r>
            <w:r>
              <w:rPr>
                <w:rFonts w:ascii="楷体" w:hAnsi="楷体"/>
                <w:u w:val="single"/>
              </w:rPr>
              <w:t xml:space="preserve">        </w:t>
            </w:r>
            <w:r>
              <w:rPr>
                <w:rFonts w:ascii="楷体" w:hAnsi="楷体"/>
              </w:rPr>
              <w:t>（盖单位章）</w:t>
            </w:r>
          </w:p>
          <w:p>
            <w:pPr>
              <w:spacing w:line="440" w:lineRule="exact"/>
              <w:rPr>
                <w:rFonts w:ascii="楷体" w:hAnsi="楷体"/>
              </w:rPr>
            </w:pPr>
            <w:r>
              <w:rPr>
                <w:rFonts w:ascii="楷体" w:hAnsi="楷体"/>
              </w:rPr>
              <w:t xml:space="preserve">                                </w:t>
            </w:r>
            <w:r>
              <w:rPr>
                <w:rFonts w:hint="eastAsia" w:ascii="楷体" w:hAnsi="楷体"/>
              </w:rPr>
              <w:t xml:space="preserve">   </w:t>
            </w:r>
            <w:r>
              <w:rPr>
                <w:rFonts w:ascii="楷体" w:hAnsi="楷体"/>
                <w:u w:val="single"/>
              </w:rPr>
              <w:t xml:space="preserve"> 2020  </w:t>
            </w:r>
            <w:r>
              <w:rPr>
                <w:rFonts w:ascii="楷体" w:hAnsi="楷体"/>
              </w:rPr>
              <w:t>年</w:t>
            </w:r>
            <w:r>
              <w:rPr>
                <w:rFonts w:ascii="楷体" w:hAnsi="楷体"/>
                <w:u w:val="single"/>
              </w:rPr>
              <w:t xml:space="preserve">   5 </w:t>
            </w:r>
            <w:r>
              <w:rPr>
                <w:rFonts w:ascii="楷体" w:hAnsi="楷体"/>
              </w:rPr>
              <w:t>月</w:t>
            </w:r>
            <w:r>
              <w:rPr>
                <w:rFonts w:ascii="楷体" w:hAnsi="楷体"/>
                <w:u w:val="single"/>
              </w:rPr>
              <w:t xml:space="preserve">  13 </w:t>
            </w:r>
            <w:r>
              <w:rPr>
                <w:rFonts w:ascii="楷体" w:hAnsi="楷体"/>
              </w:rPr>
              <w:t xml:space="preserve">日          </w:t>
            </w:r>
          </w:p>
        </w:tc>
      </w:tr>
    </w:tbl>
    <w:p>
      <w:bookmarkStart w:id="8" w:name="_Toc246997106"/>
      <w:bookmarkStart w:id="9" w:name="_Toc152045795"/>
      <w:bookmarkStart w:id="10" w:name="_Toc246996363"/>
      <w:bookmarkStart w:id="11" w:name="_Toc144974863"/>
      <w:bookmarkStart w:id="12" w:name="_Toc247085881"/>
      <w:bookmarkStart w:id="13" w:name="_Toc152042584"/>
      <w:bookmarkStart w:id="14" w:name="_Toc179632815"/>
      <w:bookmarkStart w:id="15" w:name="_Toc296602608"/>
    </w:p>
    <w:p>
      <w:pPr>
        <w:widowControl/>
        <w:jc w:val="left"/>
        <w:rPr>
          <w:b/>
          <w:kern w:val="44"/>
          <w:sz w:val="24"/>
        </w:rPr>
      </w:pPr>
      <w:r>
        <w:br w:type="page"/>
      </w:r>
    </w:p>
    <w:p>
      <w:pPr>
        <w:pStyle w:val="2"/>
      </w:pPr>
      <w:r>
        <w:rPr>
          <w:rFonts w:hint="eastAsia"/>
        </w:rPr>
        <w:t>二、采购人、采购代理机构与应答人三方约定</w:t>
      </w:r>
    </w:p>
    <w:p>
      <w:pPr>
        <w:pStyle w:val="208"/>
        <w:spacing w:line="400" w:lineRule="exact"/>
        <w:ind w:firstLine="420" w:firstLineChars="200"/>
        <w:rPr>
          <w:rFonts w:ascii="楷体" w:hAnsi="楷体" w:eastAsia="楷体"/>
          <w:b/>
          <w:lang w:eastAsia="zh-CN"/>
        </w:rPr>
      </w:pPr>
      <w:r>
        <w:rPr>
          <w:rFonts w:ascii="楷体" w:hAnsi="楷体" w:eastAsia="楷体"/>
        </w:rPr>
        <w:t>▲</w:t>
      </w:r>
      <w:r>
        <w:rPr>
          <w:rFonts w:hint="eastAsia" w:ascii="楷体" w:hAnsi="楷体" w:eastAsia="楷体"/>
        </w:rPr>
        <w:t>要求为原件由</w:t>
      </w:r>
      <w:r>
        <w:rPr>
          <w:rFonts w:hint="eastAsia" w:ascii="楷体" w:hAnsi="楷体" w:eastAsia="楷体"/>
          <w:lang w:eastAsia="zh-CN"/>
        </w:rPr>
        <w:t>法定代表人或其委托代理人</w:t>
      </w:r>
      <w:r>
        <w:rPr>
          <w:rFonts w:ascii="楷体" w:hAnsi="楷体" w:eastAsia="楷体"/>
        </w:rPr>
        <w:t>签字</w:t>
      </w:r>
      <w:r>
        <w:rPr>
          <w:rFonts w:hint="eastAsia" w:ascii="楷体" w:hAnsi="楷体" w:eastAsia="楷体"/>
          <w:lang w:eastAsia="zh-CN"/>
        </w:rPr>
        <w:t>、</w:t>
      </w:r>
      <w:r>
        <w:rPr>
          <w:rFonts w:hint="eastAsia" w:ascii="楷体" w:hAnsi="楷体" w:eastAsia="楷体"/>
        </w:rPr>
        <w:t>加盖单位公章后，附在商务</w:t>
      </w:r>
      <w:r>
        <w:rPr>
          <w:rFonts w:hint="eastAsia" w:ascii="楷体" w:hAnsi="楷体" w:eastAsia="楷体"/>
          <w:lang w:eastAsia="zh-CN"/>
        </w:rPr>
        <w:t>应答</w:t>
      </w:r>
      <w:r>
        <w:rPr>
          <w:rFonts w:hint="eastAsia" w:ascii="楷体" w:hAnsi="楷体" w:eastAsia="楷体"/>
        </w:rPr>
        <w:t>文件中，否则</w:t>
      </w:r>
      <w:r>
        <w:rPr>
          <w:rFonts w:hint="eastAsia" w:ascii="楷体" w:hAnsi="楷体" w:eastAsia="楷体"/>
          <w:lang w:eastAsia="zh-CN"/>
        </w:rPr>
        <w:t>构成重大偏差而导致应答被否决</w:t>
      </w:r>
      <w:r>
        <w:rPr>
          <w:rFonts w:hint="eastAsia" w:ascii="楷体" w:hAnsi="楷体" w:eastAsia="楷体"/>
        </w:rPr>
        <w:t>。</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pPr>
              <w:pStyle w:val="267"/>
              <w:spacing w:line="360" w:lineRule="auto"/>
              <w:rPr>
                <w:rFonts w:ascii="楷体" w:hAnsi="楷体" w:eastAsia="楷体"/>
                <w:b/>
                <w:sz w:val="28"/>
              </w:rPr>
            </w:pPr>
          </w:p>
          <w:p>
            <w:pPr>
              <w:pStyle w:val="267"/>
              <w:spacing w:line="360" w:lineRule="auto"/>
              <w:jc w:val="center"/>
              <w:rPr>
                <w:rFonts w:ascii="楷体" w:hAnsi="楷体" w:eastAsia="楷体"/>
                <w:b/>
                <w:sz w:val="36"/>
              </w:rPr>
            </w:pPr>
            <w:r>
              <w:rPr>
                <w:rFonts w:hint="eastAsia" w:ascii="楷体" w:hAnsi="楷体" w:eastAsia="楷体"/>
                <w:b/>
                <w:sz w:val="24"/>
              </w:rPr>
              <w:t>采购人、采购代理机构与应答人三方约定</w:t>
            </w:r>
          </w:p>
          <w:p>
            <w:pPr>
              <w:pStyle w:val="267"/>
              <w:rPr>
                <w:rFonts w:ascii="楷体" w:hAnsi="楷体" w:eastAsia="楷体"/>
              </w:rPr>
            </w:pPr>
          </w:p>
          <w:p>
            <w:pPr>
              <w:pStyle w:val="267"/>
              <w:rPr>
                <w:rFonts w:ascii="楷体" w:hAnsi="楷体" w:eastAsia="楷体"/>
              </w:rPr>
            </w:pPr>
          </w:p>
          <w:p>
            <w:pPr>
              <w:pStyle w:val="355"/>
              <w:spacing w:line="360" w:lineRule="auto"/>
              <w:ind w:firstLine="420" w:firstLineChars="200"/>
              <w:rPr>
                <w:rFonts w:ascii="楷体" w:hAnsi="楷体" w:eastAsia="楷体"/>
              </w:rPr>
            </w:pPr>
            <w:r>
              <w:rPr>
                <w:rFonts w:hint="eastAsia" w:ascii="楷体" w:hAnsi="楷体" w:eastAsia="楷体"/>
              </w:rPr>
              <w:t>根据《国家发展改革委办公厅关于采购代理服务收费有关问题的通知》（发改办价格[2003]857号）的规定：“招标代理服务费用应由招标人支付，招标人、招标代理机构与投标人另有约定的，从其约定。”。本次采购，采购人、采购代理机构与应答人三方作如下约定：参照“国家计委计价格〔2002〕1980号”文件规定下浮20%，由中选人支付采购代理服务费。</w:t>
            </w:r>
          </w:p>
          <w:p>
            <w:pPr>
              <w:pStyle w:val="355"/>
              <w:spacing w:line="360" w:lineRule="auto"/>
              <w:rPr>
                <w:rFonts w:ascii="楷体" w:hAnsi="楷体" w:eastAsia="楷体"/>
                <w:kern w:val="2"/>
              </w:rPr>
            </w:pPr>
          </w:p>
          <w:p>
            <w:pPr>
              <w:pStyle w:val="355"/>
              <w:spacing w:line="360" w:lineRule="auto"/>
              <w:rPr>
                <w:rFonts w:ascii="楷体" w:hAnsi="楷体" w:eastAsia="楷体"/>
                <w:kern w:val="2"/>
              </w:rPr>
            </w:pPr>
            <w:r>
              <w:rPr>
                <w:rFonts w:hint="eastAsia" w:ascii="楷体" w:hAnsi="楷体" w:eastAsia="楷体"/>
                <w:kern w:val="2"/>
              </w:rPr>
              <w:t xml:space="preserve">                            </w:t>
            </w:r>
            <w:r>
              <w:rPr>
                <w:rFonts w:hint="eastAsia" w:ascii="楷体" w:hAnsi="楷体" w:eastAsia="楷体"/>
              </w:rPr>
              <w:t>法定代表人或其委托代理人</w:t>
            </w:r>
            <w:r>
              <w:rPr>
                <w:rFonts w:ascii="楷体" w:hAnsi="楷体" w:eastAsia="楷体"/>
              </w:rPr>
              <w:t>签字</w:t>
            </w:r>
            <w:r>
              <w:rPr>
                <w:rFonts w:hint="eastAsia" w:ascii="楷体" w:hAnsi="楷体" w:eastAsia="楷体"/>
                <w:kern w:val="2"/>
              </w:rPr>
              <w:t>：</w:t>
            </w:r>
          </w:p>
          <w:p>
            <w:pPr>
              <w:pStyle w:val="355"/>
              <w:spacing w:line="360" w:lineRule="auto"/>
              <w:rPr>
                <w:rFonts w:ascii="楷体" w:hAnsi="楷体" w:eastAsia="楷体"/>
                <w:kern w:val="2"/>
              </w:rPr>
            </w:pPr>
          </w:p>
          <w:p>
            <w:pPr>
              <w:pStyle w:val="355"/>
              <w:spacing w:line="360" w:lineRule="auto"/>
              <w:rPr>
                <w:rFonts w:ascii="楷体" w:hAnsi="楷体" w:eastAsia="楷体"/>
                <w:kern w:val="2"/>
              </w:rPr>
            </w:pPr>
            <w:r>
              <w:rPr>
                <w:rFonts w:hint="eastAsia" w:ascii="楷体" w:hAnsi="楷体" w:eastAsia="楷体"/>
                <w:kern w:val="2"/>
              </w:rPr>
              <w:t xml:space="preserve">                             应答人（公章）：四川大学</w:t>
            </w:r>
          </w:p>
          <w:p>
            <w:pPr>
              <w:pStyle w:val="267"/>
              <w:ind w:firstLine="4830" w:firstLineChars="2300"/>
              <w:rPr>
                <w:rFonts w:ascii="楷体" w:hAnsi="楷体" w:eastAsia="楷体"/>
              </w:rPr>
            </w:pPr>
          </w:p>
          <w:p>
            <w:pPr>
              <w:pStyle w:val="267"/>
              <w:ind w:firstLine="4830" w:firstLineChars="2300"/>
              <w:rPr>
                <w:rFonts w:ascii="楷体" w:hAnsi="楷体" w:eastAsia="楷体"/>
              </w:rPr>
            </w:pPr>
          </w:p>
          <w:p>
            <w:pPr>
              <w:pStyle w:val="267"/>
              <w:ind w:firstLine="4830" w:firstLineChars="2300"/>
              <w:rPr>
                <w:rFonts w:ascii="楷体" w:hAnsi="楷体" w:eastAsia="楷体"/>
                <w:b/>
              </w:rPr>
            </w:pPr>
            <w:r>
              <w:rPr>
                <w:rFonts w:hint="eastAsia" w:ascii="楷体" w:hAnsi="楷体" w:eastAsia="楷体"/>
              </w:rPr>
              <w:t>2</w:t>
            </w:r>
            <w:r>
              <w:rPr>
                <w:rFonts w:ascii="楷体" w:hAnsi="楷体" w:eastAsia="楷体"/>
              </w:rPr>
              <w:t>020</w:t>
            </w:r>
            <w:r>
              <w:rPr>
                <w:rFonts w:hint="eastAsia" w:ascii="楷体" w:hAnsi="楷体" w:eastAsia="楷体"/>
              </w:rPr>
              <w:t>年</w:t>
            </w:r>
            <w:r>
              <w:rPr>
                <w:rFonts w:ascii="楷体" w:hAnsi="楷体" w:eastAsia="楷体"/>
              </w:rPr>
              <w:t xml:space="preserve"> 5 </w:t>
            </w:r>
            <w:r>
              <w:rPr>
                <w:rFonts w:hint="eastAsia" w:ascii="楷体" w:hAnsi="楷体" w:eastAsia="楷体"/>
              </w:rPr>
              <w:t>月</w:t>
            </w:r>
            <w:r>
              <w:rPr>
                <w:rFonts w:ascii="楷体" w:hAnsi="楷体" w:eastAsia="楷体"/>
              </w:rPr>
              <w:t xml:space="preserve"> 13  </w:t>
            </w:r>
            <w:r>
              <w:rPr>
                <w:rFonts w:hint="eastAsia" w:ascii="楷体" w:hAnsi="楷体" w:eastAsia="楷体"/>
              </w:rPr>
              <w:t>日</w:t>
            </w:r>
          </w:p>
          <w:p>
            <w:pPr>
              <w:pStyle w:val="355"/>
              <w:spacing w:line="360" w:lineRule="auto"/>
              <w:rPr>
                <w:rFonts w:ascii="楷体" w:hAnsi="楷体" w:eastAsia="楷体"/>
                <w:b/>
              </w:rPr>
            </w:pPr>
          </w:p>
        </w:tc>
      </w:tr>
    </w:tbl>
    <w:p/>
    <w:p>
      <w:pPr>
        <w:widowControl/>
        <w:jc w:val="left"/>
        <w:rPr>
          <w:b/>
          <w:kern w:val="44"/>
          <w:sz w:val="24"/>
        </w:rPr>
      </w:pPr>
      <w:r>
        <w:br w:type="page"/>
      </w:r>
    </w:p>
    <w:p>
      <w:pPr>
        <w:pStyle w:val="2"/>
      </w:pPr>
      <w:r>
        <w:rPr>
          <w:rFonts w:hint="eastAsia"/>
        </w:rPr>
        <w:t>三、应答人资格审查资料</w:t>
      </w:r>
    </w:p>
    <w:p>
      <w:pPr>
        <w:pStyle w:val="3"/>
      </w:pPr>
      <w:r>
        <w:rPr>
          <w:rFonts w:hint="eastAsia"/>
        </w:rPr>
        <w:t>1、应答人概况表</w:t>
      </w:r>
    </w:p>
    <w:p>
      <w:pPr>
        <w:pStyle w:val="83"/>
        <w:spacing w:line="400" w:lineRule="exact"/>
        <w:jc w:val="center"/>
        <w:rPr>
          <w:rFonts w:ascii="楷体" w:hAnsi="楷体" w:eastAsia="楷体"/>
          <w:b/>
        </w:rPr>
      </w:pPr>
      <w:r>
        <w:rPr>
          <w:rFonts w:hint="eastAsia" w:ascii="楷体" w:hAnsi="楷体" w:eastAsia="楷体"/>
          <w:b/>
          <w:lang w:eastAsia="zh-CN"/>
        </w:rPr>
        <w:t>应答</w:t>
      </w:r>
      <w:r>
        <w:rPr>
          <w:rFonts w:hint="eastAsia" w:ascii="楷体" w:hAnsi="楷体" w:eastAsia="楷体"/>
          <w:b/>
        </w:rPr>
        <w:t>人概况表</w:t>
      </w:r>
    </w:p>
    <w:tbl>
      <w:tblPr>
        <w:tblStyle w:val="4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893"/>
        <w:gridCol w:w="946"/>
        <w:gridCol w:w="835"/>
        <w:gridCol w:w="418"/>
        <w:gridCol w:w="310"/>
        <w:gridCol w:w="1072"/>
        <w:gridCol w:w="487"/>
        <w:gridCol w:w="324"/>
        <w:gridCol w:w="15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719" w:type="dxa"/>
            <w:vAlign w:val="center"/>
          </w:tcPr>
          <w:p>
            <w:pPr>
              <w:pStyle w:val="87"/>
              <w:topLinePunct/>
              <w:spacing w:line="440" w:lineRule="exact"/>
              <w:jc w:val="center"/>
              <w:rPr>
                <w:rFonts w:ascii="楷体" w:hAnsi="楷体" w:eastAsia="楷体"/>
              </w:rPr>
            </w:pPr>
            <w:r>
              <w:rPr>
                <w:rFonts w:hint="eastAsia" w:ascii="楷体" w:hAnsi="楷体" w:eastAsia="楷体"/>
              </w:rPr>
              <w:t>应答</w:t>
            </w:r>
            <w:r>
              <w:rPr>
                <w:rFonts w:ascii="楷体" w:hAnsi="楷体" w:eastAsia="楷体"/>
              </w:rPr>
              <w:t>人名称</w:t>
            </w:r>
          </w:p>
        </w:tc>
        <w:tc>
          <w:tcPr>
            <w:tcW w:w="6803" w:type="dxa"/>
            <w:gridSpan w:val="9"/>
            <w:vAlign w:val="center"/>
          </w:tcPr>
          <w:p>
            <w:pPr>
              <w:pStyle w:val="87"/>
              <w:topLinePunct/>
              <w:spacing w:line="440" w:lineRule="exact"/>
              <w:jc w:val="center"/>
              <w:rPr>
                <w:rFonts w:ascii="楷体" w:hAnsi="楷体" w:eastAsia="楷体"/>
              </w:rPr>
            </w:pPr>
            <w:r>
              <w:rPr>
                <w:rFonts w:hint="eastAsia" w:ascii="楷体" w:hAnsi="楷体" w:eastAsia="楷体"/>
              </w:rPr>
              <w:t>四川大学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719" w:type="dxa"/>
            <w:vAlign w:val="center"/>
          </w:tcPr>
          <w:p>
            <w:pPr>
              <w:pStyle w:val="87"/>
              <w:topLinePunct/>
              <w:spacing w:line="440" w:lineRule="exact"/>
              <w:jc w:val="center"/>
              <w:rPr>
                <w:rFonts w:ascii="楷体" w:hAnsi="楷体" w:eastAsia="楷体"/>
              </w:rPr>
            </w:pPr>
            <w:r>
              <w:rPr>
                <w:rFonts w:ascii="楷体" w:hAnsi="楷体" w:eastAsia="楷体"/>
              </w:rPr>
              <w:t>注册地址</w:t>
            </w:r>
          </w:p>
        </w:tc>
        <w:tc>
          <w:tcPr>
            <w:tcW w:w="3402" w:type="dxa"/>
            <w:gridSpan w:val="5"/>
            <w:vAlign w:val="center"/>
          </w:tcPr>
          <w:p>
            <w:pPr>
              <w:pStyle w:val="87"/>
              <w:topLinePunct/>
              <w:spacing w:line="440" w:lineRule="exact"/>
              <w:jc w:val="center"/>
              <w:rPr>
                <w:rFonts w:ascii="楷体" w:hAnsi="楷体" w:eastAsia="楷体"/>
              </w:rPr>
            </w:pPr>
            <w:r>
              <w:rPr>
                <w:rFonts w:hint="eastAsia" w:ascii="楷体" w:hAnsi="楷体" w:eastAsia="楷体"/>
              </w:rPr>
              <w:t>四川省成都市一环路南一段</w:t>
            </w:r>
            <w:r>
              <w:rPr>
                <w:rFonts w:ascii="楷体" w:hAnsi="楷体" w:eastAsia="楷体"/>
              </w:rPr>
              <w:t>24号</w:t>
            </w:r>
          </w:p>
        </w:tc>
        <w:tc>
          <w:tcPr>
            <w:tcW w:w="1072" w:type="dxa"/>
            <w:vAlign w:val="center"/>
          </w:tcPr>
          <w:p>
            <w:pPr>
              <w:pStyle w:val="87"/>
              <w:topLinePunct/>
              <w:spacing w:line="440" w:lineRule="exact"/>
              <w:jc w:val="center"/>
              <w:rPr>
                <w:rFonts w:ascii="楷体" w:hAnsi="楷体" w:eastAsia="楷体"/>
              </w:rPr>
            </w:pPr>
            <w:r>
              <w:rPr>
                <w:rFonts w:ascii="楷体" w:hAnsi="楷体" w:eastAsia="楷体"/>
              </w:rPr>
              <w:t>邮政编码</w:t>
            </w:r>
          </w:p>
        </w:tc>
        <w:tc>
          <w:tcPr>
            <w:tcW w:w="2329" w:type="dxa"/>
            <w:gridSpan w:val="3"/>
            <w:vAlign w:val="center"/>
          </w:tcPr>
          <w:p>
            <w:pPr>
              <w:pStyle w:val="87"/>
              <w:topLinePunct/>
              <w:spacing w:line="440" w:lineRule="exact"/>
              <w:jc w:val="center"/>
              <w:rPr>
                <w:rFonts w:ascii="楷体" w:hAnsi="楷体" w:eastAsia="楷体"/>
              </w:rPr>
            </w:pPr>
            <w:r>
              <w:rPr>
                <w:rFonts w:ascii="楷体" w:hAnsi="楷体" w:eastAsia="楷体"/>
              </w:rPr>
              <w:t>610065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719" w:type="dxa"/>
            <w:vMerge w:val="restart"/>
            <w:vAlign w:val="center"/>
          </w:tcPr>
          <w:p>
            <w:pPr>
              <w:pStyle w:val="87"/>
              <w:topLinePunct/>
              <w:spacing w:line="440" w:lineRule="exact"/>
              <w:jc w:val="center"/>
              <w:rPr>
                <w:rFonts w:ascii="楷体" w:hAnsi="楷体" w:eastAsia="楷体"/>
              </w:rPr>
            </w:pPr>
            <w:r>
              <w:rPr>
                <w:rFonts w:ascii="楷体" w:hAnsi="楷体" w:eastAsia="楷体"/>
              </w:rPr>
              <w:t>联系方式</w:t>
            </w:r>
          </w:p>
        </w:tc>
        <w:tc>
          <w:tcPr>
            <w:tcW w:w="893" w:type="dxa"/>
            <w:vAlign w:val="center"/>
          </w:tcPr>
          <w:p>
            <w:pPr>
              <w:pStyle w:val="87"/>
              <w:topLinePunct/>
              <w:spacing w:line="440" w:lineRule="exact"/>
              <w:jc w:val="center"/>
              <w:rPr>
                <w:rFonts w:ascii="楷体" w:hAnsi="楷体" w:eastAsia="楷体"/>
              </w:rPr>
            </w:pPr>
            <w:r>
              <w:rPr>
                <w:rFonts w:ascii="楷体" w:hAnsi="楷体" w:eastAsia="楷体"/>
              </w:rPr>
              <w:t>联系人</w:t>
            </w:r>
          </w:p>
        </w:tc>
        <w:tc>
          <w:tcPr>
            <w:tcW w:w="2509" w:type="dxa"/>
            <w:gridSpan w:val="4"/>
            <w:vAlign w:val="center"/>
          </w:tcPr>
          <w:p>
            <w:pPr>
              <w:pStyle w:val="87"/>
              <w:topLinePunct/>
              <w:spacing w:line="440" w:lineRule="exact"/>
              <w:jc w:val="center"/>
              <w:rPr>
                <w:rFonts w:ascii="楷体" w:hAnsi="楷体" w:eastAsia="楷体"/>
              </w:rPr>
            </w:pPr>
            <w:r>
              <w:rPr>
                <w:rFonts w:hint="eastAsia" w:ascii="楷体" w:hAnsi="楷体" w:eastAsia="楷体"/>
              </w:rPr>
              <w:t>刘友波</w:t>
            </w:r>
          </w:p>
        </w:tc>
        <w:tc>
          <w:tcPr>
            <w:tcW w:w="1072" w:type="dxa"/>
            <w:vAlign w:val="center"/>
          </w:tcPr>
          <w:p>
            <w:pPr>
              <w:pStyle w:val="87"/>
              <w:topLinePunct/>
              <w:spacing w:line="440" w:lineRule="exact"/>
              <w:jc w:val="center"/>
              <w:rPr>
                <w:rFonts w:ascii="楷体" w:hAnsi="楷体" w:eastAsia="楷体"/>
              </w:rPr>
            </w:pPr>
            <w:r>
              <w:rPr>
                <w:rFonts w:ascii="楷体" w:hAnsi="楷体" w:eastAsia="楷体"/>
              </w:rPr>
              <w:t>电 话</w:t>
            </w:r>
          </w:p>
        </w:tc>
        <w:tc>
          <w:tcPr>
            <w:tcW w:w="2329" w:type="dxa"/>
            <w:gridSpan w:val="3"/>
            <w:vAlign w:val="center"/>
          </w:tcPr>
          <w:p>
            <w:pPr>
              <w:pStyle w:val="87"/>
              <w:topLinePunct/>
              <w:spacing w:line="440" w:lineRule="exact"/>
              <w:jc w:val="center"/>
              <w:rPr>
                <w:rFonts w:ascii="楷体" w:hAnsi="楷体" w:eastAsia="楷体"/>
              </w:rPr>
            </w:pPr>
            <w:r>
              <w:rPr>
                <w:rFonts w:hint="eastAsia" w:ascii="楷体" w:hAnsi="楷体" w:eastAsia="楷体"/>
              </w:rPr>
              <w:t>1</w:t>
            </w:r>
            <w:r>
              <w:rPr>
                <w:rFonts w:ascii="楷体" w:hAnsi="楷体" w:eastAsia="楷体"/>
              </w:rPr>
              <w:t>3072887522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1719" w:type="dxa"/>
            <w:vMerge w:val="continue"/>
            <w:vAlign w:val="center"/>
          </w:tcPr>
          <w:p>
            <w:pPr>
              <w:pStyle w:val="87"/>
              <w:topLinePunct/>
              <w:spacing w:line="440" w:lineRule="exact"/>
              <w:jc w:val="center"/>
              <w:rPr>
                <w:rFonts w:ascii="楷体" w:hAnsi="楷体" w:eastAsia="楷体"/>
              </w:rPr>
            </w:pPr>
          </w:p>
        </w:tc>
        <w:tc>
          <w:tcPr>
            <w:tcW w:w="893" w:type="dxa"/>
            <w:vAlign w:val="center"/>
          </w:tcPr>
          <w:p>
            <w:pPr>
              <w:pStyle w:val="87"/>
              <w:topLinePunct/>
              <w:spacing w:line="440" w:lineRule="exact"/>
              <w:jc w:val="center"/>
              <w:rPr>
                <w:rFonts w:ascii="楷体" w:hAnsi="楷体" w:eastAsia="楷体"/>
              </w:rPr>
            </w:pPr>
            <w:r>
              <w:rPr>
                <w:rFonts w:ascii="楷体" w:hAnsi="楷体" w:eastAsia="楷体"/>
              </w:rPr>
              <w:t>传  真</w:t>
            </w:r>
          </w:p>
        </w:tc>
        <w:tc>
          <w:tcPr>
            <w:tcW w:w="2509" w:type="dxa"/>
            <w:gridSpan w:val="4"/>
            <w:vAlign w:val="center"/>
          </w:tcPr>
          <w:p>
            <w:pPr>
              <w:pStyle w:val="87"/>
              <w:topLinePunct/>
              <w:spacing w:line="440" w:lineRule="exact"/>
              <w:jc w:val="center"/>
              <w:rPr>
                <w:rFonts w:ascii="楷体" w:hAnsi="楷体" w:eastAsia="楷体"/>
              </w:rPr>
            </w:pPr>
            <w:r>
              <w:rPr>
                <w:rFonts w:ascii="楷体" w:hAnsi="楷体" w:eastAsia="楷体"/>
              </w:rPr>
              <w:t>028-85465996</w:t>
            </w:r>
          </w:p>
        </w:tc>
        <w:tc>
          <w:tcPr>
            <w:tcW w:w="1072" w:type="dxa"/>
            <w:vAlign w:val="center"/>
          </w:tcPr>
          <w:p>
            <w:pPr>
              <w:pStyle w:val="87"/>
              <w:topLinePunct/>
              <w:spacing w:line="440" w:lineRule="exact"/>
              <w:jc w:val="center"/>
              <w:rPr>
                <w:rFonts w:ascii="楷体" w:hAnsi="楷体" w:eastAsia="楷体"/>
              </w:rPr>
            </w:pPr>
            <w:r>
              <w:rPr>
                <w:rFonts w:ascii="楷体" w:hAnsi="楷体" w:eastAsia="楷体"/>
              </w:rPr>
              <w:t>网 址</w:t>
            </w:r>
          </w:p>
        </w:tc>
        <w:tc>
          <w:tcPr>
            <w:tcW w:w="2329" w:type="dxa"/>
            <w:gridSpan w:val="3"/>
            <w:vAlign w:val="center"/>
          </w:tcPr>
          <w:p>
            <w:pPr>
              <w:pStyle w:val="87"/>
              <w:topLinePunct/>
              <w:spacing w:line="440" w:lineRule="exact"/>
              <w:jc w:val="center"/>
              <w:rPr>
                <w:rFonts w:ascii="楷体" w:hAnsi="楷体" w:eastAsia="楷体"/>
              </w:rPr>
            </w:pPr>
            <w:r>
              <w:rPr>
                <w:rFonts w:ascii="楷体" w:hAnsi="楷体" w:eastAsia="楷体"/>
              </w:rPr>
              <w:t>www.suc.edu.cn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719" w:type="dxa"/>
            <w:vAlign w:val="center"/>
          </w:tcPr>
          <w:p>
            <w:pPr>
              <w:pStyle w:val="87"/>
              <w:topLinePunct/>
              <w:spacing w:line="440" w:lineRule="exact"/>
              <w:jc w:val="center"/>
              <w:rPr>
                <w:rFonts w:ascii="楷体" w:hAnsi="楷体" w:eastAsia="楷体"/>
              </w:rPr>
            </w:pPr>
            <w:r>
              <w:rPr>
                <w:rFonts w:ascii="楷体" w:hAnsi="楷体" w:eastAsia="楷体"/>
              </w:rPr>
              <w:t>主管部门</w:t>
            </w:r>
            <w:r>
              <w:rPr>
                <w:rFonts w:hint="eastAsia" w:ascii="楷体" w:hAnsi="楷体" w:eastAsia="楷体"/>
              </w:rPr>
              <w:t>（如有）</w:t>
            </w:r>
          </w:p>
        </w:tc>
        <w:tc>
          <w:tcPr>
            <w:tcW w:w="6803" w:type="dxa"/>
            <w:gridSpan w:val="9"/>
            <w:vAlign w:val="center"/>
          </w:tcPr>
          <w:p>
            <w:pPr>
              <w:pStyle w:val="87"/>
              <w:topLinePunct/>
              <w:spacing w:line="440" w:lineRule="exact"/>
              <w:jc w:val="center"/>
              <w:rPr>
                <w:rFonts w:ascii="楷体" w:hAnsi="楷体" w:eastAsia="楷体"/>
              </w:rPr>
            </w:pPr>
            <w:r>
              <w:rPr>
                <w:rFonts w:hint="eastAsia" w:ascii="楷体" w:hAnsi="楷体" w:eastAsia="楷体"/>
              </w:rPr>
              <w:t>教育部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19" w:type="dxa"/>
            <w:vAlign w:val="center"/>
          </w:tcPr>
          <w:p>
            <w:pPr>
              <w:pStyle w:val="87"/>
              <w:topLinePunct/>
              <w:spacing w:line="440" w:lineRule="exact"/>
              <w:jc w:val="center"/>
              <w:rPr>
                <w:rFonts w:ascii="楷体" w:hAnsi="楷体" w:eastAsia="楷体"/>
              </w:rPr>
            </w:pPr>
            <w:r>
              <w:rPr>
                <w:rFonts w:ascii="楷体" w:hAnsi="楷体" w:eastAsia="楷体"/>
              </w:rPr>
              <w:t>法定代表人</w:t>
            </w:r>
          </w:p>
        </w:tc>
        <w:tc>
          <w:tcPr>
            <w:tcW w:w="893" w:type="dxa"/>
            <w:vAlign w:val="center"/>
          </w:tcPr>
          <w:p>
            <w:pPr>
              <w:pStyle w:val="87"/>
              <w:topLinePunct/>
              <w:spacing w:line="440" w:lineRule="exact"/>
              <w:jc w:val="center"/>
              <w:rPr>
                <w:rFonts w:ascii="楷体" w:hAnsi="楷体" w:eastAsia="楷体"/>
              </w:rPr>
            </w:pPr>
            <w:r>
              <w:rPr>
                <w:rFonts w:ascii="楷体" w:hAnsi="楷体" w:eastAsia="楷体"/>
              </w:rPr>
              <w:t>姓名</w:t>
            </w:r>
          </w:p>
        </w:tc>
        <w:tc>
          <w:tcPr>
            <w:tcW w:w="946" w:type="dxa"/>
          </w:tcPr>
          <w:p>
            <w:pPr>
              <w:pStyle w:val="87"/>
              <w:topLinePunct/>
              <w:spacing w:line="440" w:lineRule="exact"/>
              <w:jc w:val="center"/>
              <w:rPr>
                <w:rFonts w:ascii="楷体" w:hAnsi="楷体" w:eastAsia="楷体"/>
              </w:rPr>
            </w:pPr>
            <w:r>
              <w:rPr>
                <w:rFonts w:hint="eastAsia" w:ascii="楷体" w:hAnsi="楷体" w:eastAsia="楷体"/>
              </w:rPr>
              <w:t>李言荣</w:t>
            </w:r>
          </w:p>
        </w:tc>
        <w:tc>
          <w:tcPr>
            <w:tcW w:w="1253" w:type="dxa"/>
            <w:gridSpan w:val="2"/>
            <w:vAlign w:val="center"/>
          </w:tcPr>
          <w:p>
            <w:pPr>
              <w:pStyle w:val="87"/>
              <w:topLinePunct/>
              <w:spacing w:line="440" w:lineRule="exact"/>
              <w:jc w:val="center"/>
              <w:rPr>
                <w:rFonts w:ascii="楷体" w:hAnsi="楷体" w:eastAsia="楷体"/>
              </w:rPr>
            </w:pPr>
            <w:r>
              <w:rPr>
                <w:rFonts w:ascii="楷体" w:hAnsi="楷体" w:eastAsia="楷体"/>
              </w:rPr>
              <w:t>技术职称</w:t>
            </w:r>
          </w:p>
        </w:tc>
        <w:tc>
          <w:tcPr>
            <w:tcW w:w="1382"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教授</w:t>
            </w:r>
          </w:p>
        </w:tc>
        <w:tc>
          <w:tcPr>
            <w:tcW w:w="811"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电话</w:t>
            </w:r>
          </w:p>
        </w:tc>
        <w:tc>
          <w:tcPr>
            <w:tcW w:w="1518" w:type="dxa"/>
            <w:vAlign w:val="center"/>
          </w:tcPr>
          <w:p>
            <w:pPr>
              <w:pStyle w:val="87"/>
              <w:topLinePunct/>
              <w:spacing w:line="440" w:lineRule="exact"/>
              <w:jc w:val="center"/>
              <w:rPr>
                <w:rFonts w:ascii="楷体" w:hAnsi="楷体" w:eastAsia="楷体"/>
              </w:rPr>
            </w:pPr>
            <w:r>
              <w:rPr>
                <w:rFonts w:hint="eastAsia" w:ascii="楷体" w:hAnsi="楷体" w:eastAsia="楷体"/>
              </w:rPr>
              <w:t>028-85463956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19" w:type="dxa"/>
            <w:vAlign w:val="center"/>
          </w:tcPr>
          <w:p>
            <w:pPr>
              <w:pStyle w:val="87"/>
              <w:topLinePunct/>
              <w:spacing w:line="440" w:lineRule="exact"/>
              <w:jc w:val="center"/>
              <w:rPr>
                <w:rFonts w:ascii="楷体" w:hAnsi="楷体" w:eastAsia="楷体"/>
              </w:rPr>
            </w:pPr>
            <w:r>
              <w:rPr>
                <w:rFonts w:ascii="楷体" w:hAnsi="楷体" w:eastAsia="楷体"/>
              </w:rPr>
              <w:t>技术负责人</w:t>
            </w:r>
          </w:p>
        </w:tc>
        <w:tc>
          <w:tcPr>
            <w:tcW w:w="893" w:type="dxa"/>
            <w:vAlign w:val="center"/>
          </w:tcPr>
          <w:p>
            <w:pPr>
              <w:pStyle w:val="87"/>
              <w:topLinePunct/>
              <w:spacing w:line="440" w:lineRule="exact"/>
              <w:jc w:val="center"/>
              <w:rPr>
                <w:rFonts w:ascii="楷体" w:hAnsi="楷体" w:eastAsia="楷体"/>
              </w:rPr>
            </w:pPr>
            <w:r>
              <w:rPr>
                <w:rFonts w:ascii="楷体" w:hAnsi="楷体" w:eastAsia="楷体"/>
              </w:rPr>
              <w:t>姓名</w:t>
            </w:r>
          </w:p>
        </w:tc>
        <w:tc>
          <w:tcPr>
            <w:tcW w:w="946" w:type="dxa"/>
          </w:tcPr>
          <w:p>
            <w:pPr>
              <w:pStyle w:val="87"/>
              <w:topLinePunct/>
              <w:spacing w:line="440" w:lineRule="exact"/>
              <w:jc w:val="center"/>
              <w:rPr>
                <w:rFonts w:ascii="楷体" w:hAnsi="楷体" w:eastAsia="楷体"/>
              </w:rPr>
            </w:pPr>
            <w:r>
              <w:rPr>
                <w:rFonts w:hint="eastAsia" w:ascii="楷体" w:hAnsi="楷体" w:eastAsia="楷体"/>
              </w:rPr>
              <w:t>刘友波</w:t>
            </w:r>
          </w:p>
        </w:tc>
        <w:tc>
          <w:tcPr>
            <w:tcW w:w="1253" w:type="dxa"/>
            <w:gridSpan w:val="2"/>
            <w:vAlign w:val="center"/>
          </w:tcPr>
          <w:p>
            <w:pPr>
              <w:pStyle w:val="87"/>
              <w:topLinePunct/>
              <w:spacing w:line="440" w:lineRule="exact"/>
              <w:jc w:val="center"/>
              <w:rPr>
                <w:rFonts w:ascii="楷体" w:hAnsi="楷体" w:eastAsia="楷体"/>
              </w:rPr>
            </w:pPr>
            <w:r>
              <w:rPr>
                <w:rFonts w:ascii="楷体" w:hAnsi="楷体" w:eastAsia="楷体"/>
              </w:rPr>
              <w:t>技术职称</w:t>
            </w:r>
          </w:p>
        </w:tc>
        <w:tc>
          <w:tcPr>
            <w:tcW w:w="1382"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副教授</w:t>
            </w:r>
          </w:p>
        </w:tc>
        <w:tc>
          <w:tcPr>
            <w:tcW w:w="811"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电话</w:t>
            </w:r>
          </w:p>
        </w:tc>
        <w:tc>
          <w:tcPr>
            <w:tcW w:w="1518" w:type="dxa"/>
            <w:vAlign w:val="center"/>
          </w:tcPr>
          <w:p>
            <w:pPr>
              <w:pStyle w:val="87"/>
              <w:topLinePunct/>
              <w:spacing w:line="440" w:lineRule="exact"/>
              <w:jc w:val="center"/>
              <w:rPr>
                <w:rFonts w:ascii="楷体" w:hAnsi="楷体" w:eastAsia="楷体"/>
              </w:rPr>
            </w:pPr>
            <w:r>
              <w:rPr>
                <w:rFonts w:hint="eastAsia" w:ascii="楷体" w:hAnsi="楷体" w:eastAsia="楷体"/>
              </w:rPr>
              <w:t>028-85463956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19" w:type="dxa"/>
            <w:vAlign w:val="center"/>
          </w:tcPr>
          <w:p>
            <w:pPr>
              <w:pStyle w:val="87"/>
              <w:topLinePunct/>
              <w:spacing w:line="440" w:lineRule="exact"/>
              <w:jc w:val="center"/>
              <w:rPr>
                <w:rFonts w:ascii="楷体" w:hAnsi="楷体" w:eastAsia="楷体"/>
              </w:rPr>
            </w:pPr>
            <w:r>
              <w:rPr>
                <w:rFonts w:ascii="楷体" w:hAnsi="楷体" w:eastAsia="楷体"/>
              </w:rPr>
              <w:t>成立时间</w:t>
            </w:r>
          </w:p>
        </w:tc>
        <w:tc>
          <w:tcPr>
            <w:tcW w:w="1839" w:type="dxa"/>
            <w:gridSpan w:val="2"/>
            <w:vAlign w:val="center"/>
          </w:tcPr>
          <w:p>
            <w:pPr>
              <w:pStyle w:val="87"/>
              <w:topLinePunct/>
              <w:spacing w:line="440" w:lineRule="exact"/>
              <w:jc w:val="center"/>
              <w:rPr>
                <w:rFonts w:ascii="楷体" w:hAnsi="楷体" w:eastAsia="楷体"/>
              </w:rPr>
            </w:pPr>
            <w:r>
              <w:rPr>
                <w:rFonts w:hint="eastAsia" w:ascii="仿宋_GB2312" w:eastAsia="仿宋_GB2312" w:hAnsiTheme="minorEastAsia"/>
                <w:szCs w:val="21"/>
              </w:rPr>
              <w:t>1896.8.27</w:t>
            </w:r>
          </w:p>
        </w:tc>
        <w:tc>
          <w:tcPr>
            <w:tcW w:w="4964" w:type="dxa"/>
            <w:gridSpan w:val="7"/>
            <w:vAlign w:val="center"/>
          </w:tcPr>
          <w:p>
            <w:pPr>
              <w:pStyle w:val="87"/>
              <w:topLinePunct/>
              <w:spacing w:line="440" w:lineRule="exact"/>
              <w:ind w:firstLine="105" w:firstLineChars="50"/>
              <w:jc w:val="center"/>
              <w:rPr>
                <w:rFonts w:ascii="楷体" w:hAnsi="楷体" w:eastAsia="楷体"/>
              </w:rPr>
            </w:pPr>
            <w:r>
              <w:rPr>
                <w:rFonts w:hint="eastAsia" w:ascii="仿宋_GB2312" w:eastAsia="仿宋_GB2312" w:hAnsiTheme="minorEastAsia"/>
                <w:szCs w:val="21"/>
              </w:rPr>
              <w:t>员工总人数：9688人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8" w:hRule="atLeast"/>
        </w:trPr>
        <w:tc>
          <w:tcPr>
            <w:tcW w:w="1719" w:type="dxa"/>
            <w:vAlign w:val="center"/>
          </w:tcPr>
          <w:p>
            <w:pPr>
              <w:pStyle w:val="87"/>
              <w:topLinePunct/>
              <w:spacing w:line="440" w:lineRule="exact"/>
              <w:jc w:val="center"/>
              <w:rPr>
                <w:rFonts w:ascii="楷体" w:hAnsi="楷体" w:eastAsia="楷体"/>
              </w:rPr>
            </w:pPr>
            <w:r>
              <w:rPr>
                <w:rFonts w:ascii="楷体" w:hAnsi="楷体" w:eastAsia="楷体"/>
              </w:rPr>
              <w:t>企业资质等级</w:t>
            </w:r>
          </w:p>
        </w:tc>
        <w:tc>
          <w:tcPr>
            <w:tcW w:w="1839"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事业单位</w:t>
            </w:r>
          </w:p>
        </w:tc>
        <w:tc>
          <w:tcPr>
            <w:tcW w:w="835" w:type="dxa"/>
            <w:vMerge w:val="restart"/>
            <w:vAlign w:val="center"/>
          </w:tcPr>
          <w:p>
            <w:pPr>
              <w:pStyle w:val="87"/>
              <w:topLinePunct/>
              <w:spacing w:line="440" w:lineRule="exact"/>
              <w:jc w:val="center"/>
              <w:rPr>
                <w:rFonts w:ascii="楷体" w:hAnsi="楷体" w:eastAsia="楷体"/>
              </w:rPr>
            </w:pPr>
            <w:r>
              <w:rPr>
                <w:rFonts w:hint="eastAsia" w:ascii="楷体" w:hAnsi="楷体" w:eastAsia="楷体"/>
              </w:rPr>
              <w:t>其中</w:t>
            </w:r>
          </w:p>
        </w:tc>
        <w:tc>
          <w:tcPr>
            <w:tcW w:w="2287" w:type="dxa"/>
            <w:gridSpan w:val="4"/>
            <w:vAlign w:val="center"/>
          </w:tcPr>
          <w:p>
            <w:pPr>
              <w:pStyle w:val="87"/>
              <w:topLinePunct/>
              <w:spacing w:line="440" w:lineRule="exact"/>
              <w:jc w:val="center"/>
              <w:rPr>
                <w:rFonts w:ascii="楷体" w:hAnsi="楷体" w:eastAsia="楷体"/>
              </w:rPr>
            </w:pPr>
            <w:r>
              <w:rPr>
                <w:rFonts w:hint="eastAsia" w:ascii="楷体" w:hAnsi="楷体" w:eastAsia="楷体"/>
              </w:rPr>
              <w:t>项目经理</w:t>
            </w:r>
          </w:p>
        </w:tc>
        <w:tc>
          <w:tcPr>
            <w:tcW w:w="1842"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217人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1719" w:type="dxa"/>
            <w:vAlign w:val="center"/>
          </w:tcPr>
          <w:p>
            <w:pPr>
              <w:pStyle w:val="87"/>
              <w:topLinePunct/>
              <w:spacing w:line="440" w:lineRule="exact"/>
              <w:jc w:val="center"/>
              <w:rPr>
                <w:rFonts w:ascii="楷体" w:hAnsi="楷体" w:eastAsia="楷体"/>
              </w:rPr>
            </w:pPr>
            <w:r>
              <w:rPr>
                <w:rFonts w:ascii="楷体" w:hAnsi="楷体" w:eastAsia="楷体"/>
              </w:rPr>
              <w:t>营业执照号</w:t>
            </w:r>
          </w:p>
        </w:tc>
        <w:tc>
          <w:tcPr>
            <w:tcW w:w="1839"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121000004000091949</w:t>
            </w:r>
          </w:p>
        </w:tc>
        <w:tc>
          <w:tcPr>
            <w:tcW w:w="835" w:type="dxa"/>
            <w:vMerge w:val="continue"/>
            <w:vAlign w:val="center"/>
          </w:tcPr>
          <w:p>
            <w:pPr>
              <w:pStyle w:val="87"/>
              <w:topLinePunct/>
              <w:spacing w:line="440" w:lineRule="exact"/>
              <w:jc w:val="center"/>
              <w:rPr>
                <w:rFonts w:ascii="楷体" w:hAnsi="楷体" w:eastAsia="楷体"/>
              </w:rPr>
            </w:pPr>
          </w:p>
        </w:tc>
        <w:tc>
          <w:tcPr>
            <w:tcW w:w="2287" w:type="dxa"/>
            <w:gridSpan w:val="4"/>
            <w:vAlign w:val="center"/>
          </w:tcPr>
          <w:p>
            <w:pPr>
              <w:pStyle w:val="87"/>
              <w:topLinePunct/>
              <w:spacing w:line="440" w:lineRule="exact"/>
              <w:jc w:val="center"/>
              <w:rPr>
                <w:rFonts w:ascii="楷体" w:hAnsi="楷体" w:eastAsia="楷体"/>
              </w:rPr>
            </w:pPr>
            <w:r>
              <w:rPr>
                <w:rFonts w:hint="eastAsia" w:ascii="楷体" w:hAnsi="楷体" w:eastAsia="楷体"/>
              </w:rPr>
              <w:t>高级职称人员</w:t>
            </w:r>
          </w:p>
        </w:tc>
        <w:tc>
          <w:tcPr>
            <w:tcW w:w="1842"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1733人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1719" w:type="dxa"/>
            <w:vAlign w:val="center"/>
          </w:tcPr>
          <w:p>
            <w:pPr>
              <w:pStyle w:val="87"/>
              <w:topLinePunct/>
              <w:spacing w:line="440" w:lineRule="exact"/>
              <w:jc w:val="center"/>
              <w:rPr>
                <w:rFonts w:ascii="楷体" w:hAnsi="楷体" w:eastAsia="楷体"/>
              </w:rPr>
            </w:pPr>
            <w:r>
              <w:rPr>
                <w:rFonts w:ascii="楷体" w:hAnsi="楷体" w:eastAsia="楷体"/>
              </w:rPr>
              <w:t>注册资金</w:t>
            </w:r>
          </w:p>
        </w:tc>
        <w:tc>
          <w:tcPr>
            <w:tcW w:w="1839"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128624万元</w:t>
            </w:r>
          </w:p>
        </w:tc>
        <w:tc>
          <w:tcPr>
            <w:tcW w:w="835" w:type="dxa"/>
            <w:vMerge w:val="continue"/>
            <w:vAlign w:val="center"/>
          </w:tcPr>
          <w:p>
            <w:pPr>
              <w:pStyle w:val="87"/>
              <w:topLinePunct/>
              <w:spacing w:line="440" w:lineRule="exact"/>
              <w:jc w:val="center"/>
              <w:rPr>
                <w:rFonts w:ascii="楷体" w:hAnsi="楷体" w:eastAsia="楷体"/>
              </w:rPr>
            </w:pPr>
          </w:p>
        </w:tc>
        <w:tc>
          <w:tcPr>
            <w:tcW w:w="2287" w:type="dxa"/>
            <w:gridSpan w:val="4"/>
            <w:vAlign w:val="center"/>
          </w:tcPr>
          <w:p>
            <w:pPr>
              <w:pStyle w:val="87"/>
              <w:topLinePunct/>
              <w:spacing w:line="440" w:lineRule="exact"/>
              <w:jc w:val="center"/>
              <w:rPr>
                <w:rFonts w:ascii="楷体" w:hAnsi="楷体" w:eastAsia="楷体"/>
              </w:rPr>
            </w:pPr>
            <w:r>
              <w:rPr>
                <w:rFonts w:hint="eastAsia" w:ascii="楷体" w:hAnsi="楷体" w:eastAsia="楷体"/>
              </w:rPr>
              <w:t>中级职称人员</w:t>
            </w:r>
          </w:p>
        </w:tc>
        <w:tc>
          <w:tcPr>
            <w:tcW w:w="1842"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1214人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6" w:hRule="atLeast"/>
        </w:trPr>
        <w:tc>
          <w:tcPr>
            <w:tcW w:w="1719" w:type="dxa"/>
            <w:vAlign w:val="center"/>
          </w:tcPr>
          <w:p>
            <w:pPr>
              <w:pStyle w:val="87"/>
              <w:topLinePunct/>
              <w:spacing w:line="440" w:lineRule="exact"/>
              <w:jc w:val="center"/>
              <w:rPr>
                <w:rFonts w:ascii="楷体" w:hAnsi="楷体" w:eastAsia="楷体"/>
              </w:rPr>
            </w:pPr>
            <w:r>
              <w:rPr>
                <w:rFonts w:ascii="楷体" w:hAnsi="楷体" w:eastAsia="楷体"/>
              </w:rPr>
              <w:t>开户银行</w:t>
            </w:r>
          </w:p>
        </w:tc>
        <w:tc>
          <w:tcPr>
            <w:tcW w:w="1839"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中国建设银行成都川大支行</w:t>
            </w:r>
          </w:p>
        </w:tc>
        <w:tc>
          <w:tcPr>
            <w:tcW w:w="835" w:type="dxa"/>
            <w:vMerge w:val="continue"/>
            <w:vAlign w:val="center"/>
          </w:tcPr>
          <w:p>
            <w:pPr>
              <w:pStyle w:val="87"/>
              <w:topLinePunct/>
              <w:spacing w:line="440" w:lineRule="exact"/>
              <w:jc w:val="center"/>
              <w:rPr>
                <w:rFonts w:ascii="楷体" w:hAnsi="楷体" w:eastAsia="楷体"/>
              </w:rPr>
            </w:pPr>
          </w:p>
        </w:tc>
        <w:tc>
          <w:tcPr>
            <w:tcW w:w="2287" w:type="dxa"/>
            <w:gridSpan w:val="4"/>
            <w:vAlign w:val="center"/>
          </w:tcPr>
          <w:p>
            <w:pPr>
              <w:pStyle w:val="87"/>
              <w:topLinePunct/>
              <w:spacing w:line="440" w:lineRule="exact"/>
              <w:jc w:val="center"/>
              <w:rPr>
                <w:rFonts w:ascii="楷体" w:hAnsi="楷体" w:eastAsia="楷体"/>
              </w:rPr>
            </w:pPr>
            <w:r>
              <w:rPr>
                <w:rFonts w:hint="eastAsia" w:ascii="楷体" w:hAnsi="楷体" w:eastAsia="楷体"/>
              </w:rPr>
              <w:t>初级职称人员</w:t>
            </w:r>
          </w:p>
        </w:tc>
        <w:tc>
          <w:tcPr>
            <w:tcW w:w="1842"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2005人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1719" w:type="dxa"/>
            <w:vAlign w:val="center"/>
          </w:tcPr>
          <w:p>
            <w:pPr>
              <w:pStyle w:val="87"/>
              <w:topLinePunct/>
              <w:spacing w:line="440" w:lineRule="exact"/>
              <w:jc w:val="center"/>
              <w:rPr>
                <w:rFonts w:ascii="楷体" w:hAnsi="楷体" w:eastAsia="楷体"/>
              </w:rPr>
            </w:pPr>
            <w:r>
              <w:rPr>
                <w:rFonts w:ascii="楷体" w:hAnsi="楷体" w:eastAsia="楷体"/>
              </w:rPr>
              <w:t>账号</w:t>
            </w:r>
          </w:p>
        </w:tc>
        <w:tc>
          <w:tcPr>
            <w:tcW w:w="1839"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51001870469059888666</w:t>
            </w:r>
          </w:p>
        </w:tc>
        <w:tc>
          <w:tcPr>
            <w:tcW w:w="835" w:type="dxa"/>
            <w:vMerge w:val="continue"/>
            <w:vAlign w:val="center"/>
          </w:tcPr>
          <w:p>
            <w:pPr>
              <w:pStyle w:val="87"/>
              <w:topLinePunct/>
              <w:spacing w:line="440" w:lineRule="exact"/>
              <w:jc w:val="center"/>
              <w:rPr>
                <w:rFonts w:ascii="楷体" w:hAnsi="楷体" w:eastAsia="楷体"/>
              </w:rPr>
            </w:pPr>
          </w:p>
        </w:tc>
        <w:tc>
          <w:tcPr>
            <w:tcW w:w="2287" w:type="dxa"/>
            <w:gridSpan w:val="4"/>
            <w:vAlign w:val="center"/>
          </w:tcPr>
          <w:p>
            <w:pPr>
              <w:pStyle w:val="87"/>
              <w:topLinePunct/>
              <w:spacing w:line="440" w:lineRule="exact"/>
              <w:jc w:val="center"/>
              <w:rPr>
                <w:rFonts w:ascii="楷体" w:hAnsi="楷体" w:eastAsia="楷体"/>
              </w:rPr>
            </w:pPr>
            <w:r>
              <w:rPr>
                <w:rFonts w:hint="eastAsia" w:ascii="楷体" w:hAnsi="楷体" w:eastAsia="楷体"/>
              </w:rPr>
              <w:t>技工</w:t>
            </w:r>
          </w:p>
        </w:tc>
        <w:tc>
          <w:tcPr>
            <w:tcW w:w="1842" w:type="dxa"/>
            <w:gridSpan w:val="2"/>
            <w:vAlign w:val="center"/>
          </w:tcPr>
          <w:p>
            <w:pPr>
              <w:pStyle w:val="87"/>
              <w:topLinePunct/>
              <w:spacing w:line="440" w:lineRule="exact"/>
              <w:jc w:val="center"/>
              <w:rPr>
                <w:rFonts w:ascii="楷体" w:hAnsi="楷体" w:eastAsia="楷体"/>
              </w:rPr>
            </w:pPr>
            <w:r>
              <w:rPr>
                <w:rFonts w:hint="eastAsia" w:ascii="楷体" w:hAnsi="楷体" w:eastAsia="楷体"/>
              </w:rPr>
              <w:t>4882人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4" w:hRule="atLeast"/>
        </w:trPr>
        <w:tc>
          <w:tcPr>
            <w:tcW w:w="8522" w:type="dxa"/>
            <w:gridSpan w:val="10"/>
            <w:vAlign w:val="center"/>
          </w:tcPr>
          <w:p>
            <w:pPr>
              <w:pStyle w:val="87"/>
              <w:topLinePunct/>
              <w:spacing w:line="400" w:lineRule="exact"/>
              <w:ind w:firstLine="210" w:firstLineChars="100"/>
              <w:jc w:val="left"/>
              <w:rPr>
                <w:rFonts w:ascii="楷体" w:hAnsi="楷体" w:eastAsia="楷体"/>
              </w:rPr>
            </w:pPr>
            <w:r>
              <w:rPr>
                <w:rFonts w:hint="eastAsia" w:ascii="楷体" w:hAnsi="楷体" w:eastAsia="楷体"/>
              </w:rPr>
              <w:t>单位概括（</w:t>
            </w:r>
            <w:r>
              <w:rPr>
                <w:rFonts w:ascii="楷体" w:hAnsi="楷体" w:eastAsia="楷体"/>
              </w:rPr>
              <w:t>组织结构</w:t>
            </w:r>
            <w:r>
              <w:rPr>
                <w:rFonts w:hint="eastAsia" w:ascii="楷体" w:hAnsi="楷体" w:eastAsia="楷体"/>
              </w:rPr>
              <w:t>）等</w:t>
            </w:r>
          </w:p>
          <w:p>
            <w:pPr>
              <w:pStyle w:val="87"/>
              <w:adjustRightInd w:val="0"/>
              <w:snapToGrid w:val="0"/>
              <w:spacing w:before="100" w:after="100"/>
              <w:ind w:firstLine="180"/>
              <w:rPr>
                <w:rFonts w:ascii="楷体" w:hAnsi="楷体" w:eastAsia="楷体"/>
                <w:sz w:val="18"/>
              </w:rPr>
            </w:pPr>
            <w:r>
              <w:rPr>
                <w:rFonts w:ascii="楷体" w:hAnsi="楷体" w:eastAsia="楷体"/>
                <w:sz w:val="18"/>
              </w:rPr>
              <w:t>组织机构框图</w:t>
            </w:r>
          </w:p>
          <w:p>
            <w:pPr>
              <w:pStyle w:val="87"/>
              <w:adjustRightInd w:val="0"/>
              <w:snapToGrid w:val="0"/>
              <w:spacing w:before="100" w:after="100"/>
              <w:ind w:firstLine="180"/>
              <w:rPr>
                <w:rFonts w:ascii="楷体" w:hAnsi="楷体" w:eastAsia="楷体"/>
                <w:sz w:val="18"/>
              </w:rPr>
            </w:pPr>
            <w:r>
              <w:rPr>
                <w:rFonts w:ascii="楷体" w:hAnsi="楷体" w:eastAsia="楷体"/>
                <w:sz w:val="18"/>
              </w:rPr>
              <w:t>（包括机构、领导成员、主要技术人员数量等情况）</w:t>
            </w:r>
          </w:p>
          <w:p>
            <w:pPr>
              <w:topLinePunct/>
              <w:ind w:firstLine="210" w:firstLineChars="100"/>
              <w:contextualSpacing/>
              <w:jc w:val="left"/>
              <w:rPr>
                <w:rFonts w:ascii="仿宋_GB2312" w:eastAsia="仿宋_GB2312" w:hAnsiTheme="minorEastAsia"/>
                <w:szCs w:val="21"/>
              </w:rPr>
            </w:pPr>
            <w:r>
              <w:rPr>
                <w:rFonts w:hint="eastAsia" w:ascii="仿宋_GB2312" w:eastAsia="仿宋_GB2312" w:hAnsiTheme="minorEastAsia"/>
                <w:szCs w:val="21"/>
              </w:rPr>
              <w:t>四川大学校党委常委、校党委书记王建国，校党委常委、校长、校党委副书记李言荣院士。四川大学大师云集，名师荟萃。截至2017年底，学校有专任教师5494人，具有正高级职称的1733人。学校有中国科学院和中国工程院院士15人，四川大学杰出教授5人，国家“千人计划”创新长期项目入选者15人、创新短期项目入选者17人、外专项目入选者4人，教育部“长江学者奖励计划”特聘教授43人、讲座教授16人，国家“万人计划”领军人才14人，国家自然科学杰出青年基金获得者50人，“四青”人才（国家“千人计划”青年项目入选者、教育部“长江学者奖励计划”青年项目入选者、国家“万人计划”青年拔尖人才、国家自然科学优秀青年基金获得者）104人次，“973”首席科学家9人，牵头“973”重大基础研究项目12项，重点研发计划项目负责人30人，国家社科基金重大招标（委托）项目获得者39人（42项），国家教学名师奖获得者12人，国家创新人才推进计划“中青年科技创新领军人才”15人，四川省“千人计划”（含原省“百人计划”）入选者123人。</w:t>
            </w:r>
          </w:p>
          <w:p>
            <w:pPr>
              <w:topLinePunct/>
              <w:ind w:firstLine="210" w:firstLineChars="100"/>
              <w:contextualSpacing/>
              <w:jc w:val="left"/>
              <w:rPr>
                <w:rFonts w:ascii="仿宋_GB2312" w:eastAsia="仿宋_GB2312" w:hAnsiTheme="minorEastAsia"/>
                <w:szCs w:val="21"/>
              </w:rPr>
            </w:pPr>
            <w:r>
              <w:rPr>
                <w:rFonts w:hint="eastAsia" w:ascii="仿宋_GB2312" w:eastAsia="仿宋_GB2312" w:hAnsiTheme="minorEastAsia"/>
                <w:szCs w:val="21"/>
              </w:rPr>
              <w:t xml:space="preserve">  四川大学学科门类齐全，覆盖了文、理、工、医、经、管、法、史、哲、农、教、艺等12个门类，有34个学科型学院及研究生院、海外教育学院等学院。现有博士学位授权一级学科45个，专业学位授权点32个，本科专业142个，博士后流动站37个，国家重点学科46个，国家重点培育学科4个，是国家首批工程博士培养单位。截至2017年底，学校进入ESI排名全球前1%的学科领域14个，其中，化学、材料科学学科领域进入全球前1‰。</w:t>
            </w:r>
          </w:p>
          <w:p>
            <w:pPr>
              <w:pStyle w:val="217"/>
              <w:snapToGrid w:val="0"/>
              <w:jc w:val="center"/>
              <w:rPr>
                <w:rFonts w:ascii="Calibri" w:hAnsi="Calibri"/>
              </w:rPr>
            </w:pPr>
            <w:r>
              <w:rPr>
                <w:rFonts w:ascii="Calibri" w:hAnsi="Calibri"/>
              </w:rPr>
              <w:object>
                <v:shape id="_x0000_i1025" o:spt="75" type="#_x0000_t75" style="height:227pt;width:345pt;" o:ole="t" filled="f" o:preferrelative="t" stroked="f" coordsize="21600,21600">
                  <v:path/>
                  <v:fill on="f" focussize="0,0"/>
                  <v:stroke on="f" joinstyle="miter"/>
                  <v:imagedata r:id="rId7" o:title=""/>
                  <o:lock v:ext="edit" aspectratio="t"/>
                  <w10:wrap type="none"/>
                  <w10:anchorlock/>
                </v:shape>
                <o:OLEObject Type="Embed" ProgID="Visio.Drawing.11" ShapeID="_x0000_i1025" DrawAspect="Content" ObjectID="_1468075725" r:id="rId6">
                  <o:LockedField>false</o:LockedField>
                </o:OLEObject>
              </w:object>
            </w:r>
          </w:p>
          <w:p>
            <w:pPr>
              <w:pStyle w:val="217"/>
              <w:snapToGrid w:val="0"/>
              <w:jc w:val="right"/>
              <w:rPr>
                <w:rFonts w:ascii="楷体" w:hAnsi="楷体"/>
                <w:lang w:eastAsia="zh-CN"/>
              </w:rPr>
            </w:pPr>
            <w:r>
              <w:rPr>
                <w:rFonts w:hint="eastAsia" w:ascii="楷体" w:hAnsi="楷体"/>
                <w:lang w:eastAsia="zh-CN"/>
              </w:rPr>
              <w:t>法定代表人或委托人：（签名）</w:t>
            </w:r>
          </w:p>
          <w:p>
            <w:pPr>
              <w:pStyle w:val="217"/>
              <w:snapToGrid w:val="0"/>
              <w:spacing w:line="400" w:lineRule="exact"/>
              <w:jc w:val="right"/>
              <w:rPr>
                <w:rFonts w:ascii="楷体" w:hAnsi="楷体"/>
              </w:rPr>
            </w:pPr>
            <w:r>
              <w:rPr>
                <w:rFonts w:hint="eastAsia" w:ascii="楷体" w:hAnsi="楷体"/>
                <w:lang w:eastAsia="zh-CN"/>
              </w:rPr>
              <w:t>应答</w:t>
            </w:r>
            <w:r>
              <w:rPr>
                <w:rFonts w:ascii="楷体" w:hAnsi="楷体"/>
              </w:rPr>
              <w:t>人：</w:t>
            </w:r>
            <w:r>
              <w:rPr>
                <w:rFonts w:hint="eastAsia" w:ascii="楷体" w:hAnsi="楷体"/>
                <w:lang w:eastAsia="zh-CN"/>
              </w:rPr>
              <w:t>四川大学</w:t>
            </w:r>
            <w:r>
              <w:rPr>
                <w:rFonts w:ascii="楷体" w:hAnsi="楷体"/>
              </w:rPr>
              <w:t>（公章）</w:t>
            </w:r>
          </w:p>
        </w:tc>
      </w:tr>
    </w:tbl>
    <w:p>
      <w:pPr>
        <w:pStyle w:val="83"/>
        <w:rPr>
          <w:rFonts w:ascii="楷体" w:hAnsi="楷体" w:eastAsia="楷体"/>
          <w:b/>
          <w:sz w:val="24"/>
          <w:lang w:eastAsia="zh-CN"/>
        </w:rPr>
      </w:pPr>
    </w:p>
    <w:p>
      <w:pPr>
        <w:widowControl/>
        <w:jc w:val="left"/>
        <w:rPr>
          <w:rFonts w:ascii="楷体" w:hAnsi="楷体"/>
          <w:b/>
          <w:kern w:val="1"/>
          <w:sz w:val="24"/>
        </w:rPr>
      </w:pPr>
      <w:r>
        <w:rPr>
          <w:rFonts w:ascii="楷体" w:hAnsi="楷体"/>
          <w:b/>
          <w:sz w:val="24"/>
        </w:rPr>
        <w:br w:type="page"/>
      </w:r>
    </w:p>
    <w:p>
      <w:pPr>
        <w:pStyle w:val="3"/>
      </w:pPr>
      <w:r>
        <w:rPr>
          <w:rFonts w:hint="eastAsia"/>
        </w:rPr>
        <w:t>2、应答人财务状况表（如有要求）</w:t>
      </w:r>
    </w:p>
    <w:p>
      <w:pPr>
        <w:jc w:val="center"/>
        <w:rPr>
          <w:rFonts w:ascii="楷体" w:hAnsi="楷体"/>
          <w:b/>
          <w:bCs/>
        </w:rPr>
      </w:pPr>
      <w:r>
        <w:rPr>
          <w:rFonts w:ascii="楷体" w:hAnsi="楷体"/>
          <w:b/>
          <w:bCs/>
        </w:rPr>
        <w:t>财务状况表</w:t>
      </w:r>
    </w:p>
    <w:tbl>
      <w:tblPr>
        <w:tblStyle w:val="49"/>
        <w:tblW w:w="83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679"/>
        <w:gridCol w:w="992"/>
        <w:gridCol w:w="1559"/>
        <w:gridCol w:w="1559"/>
        <w:gridCol w:w="15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9" w:hRule="atLeast"/>
          <w:jc w:val="center"/>
        </w:trPr>
        <w:tc>
          <w:tcPr>
            <w:tcW w:w="2679" w:type="dxa"/>
          </w:tcPr>
          <w:p>
            <w:pPr>
              <w:widowControl/>
              <w:autoSpaceDE w:val="0"/>
              <w:autoSpaceDN w:val="0"/>
              <w:spacing w:line="380" w:lineRule="atLeast"/>
              <w:ind w:left="113" w:firstLine="13"/>
              <w:jc w:val="center"/>
              <w:textAlignment w:val="bottom"/>
              <w:rPr>
                <w:rFonts w:ascii="楷体" w:hAnsi="楷体"/>
              </w:rPr>
            </w:pPr>
            <w:r>
              <w:rPr>
                <w:rFonts w:ascii="楷体" w:hAnsi="楷体"/>
              </w:rPr>
              <w:t>项目或指标</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单位</w:t>
            </w:r>
          </w:p>
        </w:tc>
        <w:tc>
          <w:tcPr>
            <w:tcW w:w="1559" w:type="dxa"/>
          </w:tcPr>
          <w:p>
            <w:pPr>
              <w:widowControl/>
              <w:autoSpaceDE w:val="0"/>
              <w:autoSpaceDN w:val="0"/>
              <w:spacing w:line="380" w:lineRule="atLeast"/>
              <w:ind w:firstLine="13"/>
              <w:jc w:val="center"/>
              <w:textAlignment w:val="bottom"/>
              <w:rPr>
                <w:rFonts w:ascii="楷体" w:hAnsi="楷体"/>
              </w:rPr>
            </w:pPr>
            <w:r>
              <w:rPr>
                <w:rFonts w:ascii="宋体" w:hAnsi="宋体" w:cs="宋体"/>
                <w:szCs w:val="21"/>
              </w:rPr>
              <w:tab/>
            </w:r>
            <w:r>
              <w:rPr>
                <w:rFonts w:hint="eastAsia" w:ascii="宋体" w:hAnsi="宋体" w:cs="宋体"/>
                <w:szCs w:val="21"/>
              </w:rPr>
              <w:t>2016</w:t>
            </w:r>
            <w:r>
              <w:rPr>
                <w:rFonts w:ascii="宋体" w:hAnsi="宋体" w:cs="宋体"/>
                <w:szCs w:val="21"/>
              </w:rPr>
              <w:tab/>
            </w:r>
            <w:r>
              <w:rPr>
                <w:rFonts w:hint="eastAsia" w:ascii="宋体" w:hAnsi="宋体" w:cs="宋体"/>
                <w:szCs w:val="21"/>
              </w:rPr>
              <w:t>年</w:t>
            </w:r>
          </w:p>
        </w:tc>
        <w:tc>
          <w:tcPr>
            <w:tcW w:w="1559" w:type="dxa"/>
          </w:tcPr>
          <w:p>
            <w:pPr>
              <w:widowControl/>
              <w:autoSpaceDE w:val="0"/>
              <w:autoSpaceDN w:val="0"/>
              <w:spacing w:line="380" w:lineRule="atLeast"/>
              <w:ind w:firstLine="13"/>
              <w:jc w:val="center"/>
              <w:textAlignment w:val="bottom"/>
              <w:rPr>
                <w:rFonts w:ascii="楷体" w:hAnsi="楷体"/>
              </w:rPr>
            </w:pPr>
            <w:r>
              <w:rPr>
                <w:rFonts w:hint="eastAsia" w:ascii="宋体" w:hAnsi="宋体" w:cs="宋体"/>
                <w:szCs w:val="21"/>
              </w:rPr>
              <w:t>2017年</w:t>
            </w:r>
          </w:p>
        </w:tc>
        <w:tc>
          <w:tcPr>
            <w:tcW w:w="1571" w:type="dxa"/>
          </w:tcPr>
          <w:p>
            <w:pPr>
              <w:widowControl/>
              <w:autoSpaceDE w:val="0"/>
              <w:autoSpaceDN w:val="0"/>
              <w:spacing w:line="380" w:lineRule="atLeast"/>
              <w:ind w:firstLine="13"/>
              <w:jc w:val="center"/>
              <w:textAlignment w:val="bottom"/>
              <w:rPr>
                <w:rFonts w:ascii="楷体" w:hAnsi="楷体"/>
              </w:rPr>
            </w:pPr>
            <w:r>
              <w:rPr>
                <w:rFonts w:hint="eastAsia" w:ascii="宋体" w:hAnsi="宋体" w:cs="宋体"/>
                <w:szCs w:val="21"/>
              </w:rPr>
              <w:t>2018年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75" w:hRule="atLeast"/>
          <w:jc w:val="center"/>
        </w:trPr>
        <w:tc>
          <w:tcPr>
            <w:tcW w:w="2679" w:type="dxa"/>
          </w:tcPr>
          <w:p>
            <w:pPr>
              <w:widowControl/>
              <w:autoSpaceDE w:val="0"/>
              <w:autoSpaceDN w:val="0"/>
              <w:spacing w:line="380" w:lineRule="atLeast"/>
              <w:ind w:left="113" w:firstLine="13"/>
              <w:textAlignment w:val="bottom"/>
              <w:rPr>
                <w:rFonts w:ascii="楷体" w:hAnsi="楷体"/>
              </w:rPr>
            </w:pPr>
            <w:r>
              <w:rPr>
                <w:rFonts w:ascii="楷体" w:hAnsi="楷体"/>
              </w:rPr>
              <w:t>一.注册资金</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万元</w:t>
            </w:r>
          </w:p>
        </w:tc>
        <w:tc>
          <w:tcPr>
            <w:tcW w:w="1559" w:type="dxa"/>
          </w:tcPr>
          <w:p>
            <w:pPr>
              <w:widowControl/>
              <w:autoSpaceDE w:val="0"/>
              <w:autoSpaceDN w:val="0"/>
              <w:spacing w:line="380" w:lineRule="atLeast"/>
              <w:ind w:firstLine="13"/>
              <w:jc w:val="center"/>
              <w:textAlignment w:val="bottom"/>
              <w:rPr>
                <w:rFonts w:ascii="楷体" w:hAnsi="楷体"/>
              </w:rPr>
            </w:pPr>
            <w:r>
              <w:rPr>
                <w:rFonts w:hint="eastAsia" w:ascii="楷体" w:hAnsi="楷体"/>
              </w:rPr>
              <w:t>128624</w:t>
            </w:r>
          </w:p>
        </w:tc>
        <w:tc>
          <w:tcPr>
            <w:tcW w:w="1559" w:type="dxa"/>
          </w:tcPr>
          <w:p>
            <w:pPr>
              <w:widowControl/>
              <w:autoSpaceDE w:val="0"/>
              <w:autoSpaceDN w:val="0"/>
              <w:spacing w:line="380" w:lineRule="atLeast"/>
              <w:ind w:firstLine="13"/>
              <w:jc w:val="center"/>
              <w:textAlignment w:val="bottom"/>
              <w:rPr>
                <w:rFonts w:ascii="楷体" w:hAnsi="楷体"/>
              </w:rPr>
            </w:pPr>
            <w:r>
              <w:rPr>
                <w:rFonts w:hint="eastAsia" w:ascii="楷体" w:hAnsi="楷体"/>
              </w:rPr>
              <w:t>128624</w:t>
            </w:r>
          </w:p>
        </w:tc>
        <w:tc>
          <w:tcPr>
            <w:tcW w:w="1571" w:type="dxa"/>
          </w:tcPr>
          <w:p>
            <w:pPr>
              <w:widowControl/>
              <w:autoSpaceDE w:val="0"/>
              <w:autoSpaceDN w:val="0"/>
              <w:spacing w:line="380" w:lineRule="atLeast"/>
              <w:ind w:firstLine="13"/>
              <w:jc w:val="center"/>
              <w:textAlignment w:val="bottom"/>
              <w:rPr>
                <w:rFonts w:ascii="楷体" w:hAnsi="楷体"/>
              </w:rPr>
            </w:pPr>
            <w:r>
              <w:rPr>
                <w:rFonts w:ascii="楷体" w:hAnsi="楷体"/>
              </w:rPr>
              <w:t>128624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75" w:hRule="atLeast"/>
          <w:jc w:val="center"/>
        </w:trPr>
        <w:tc>
          <w:tcPr>
            <w:tcW w:w="2679" w:type="dxa"/>
          </w:tcPr>
          <w:p>
            <w:pPr>
              <w:widowControl/>
              <w:autoSpaceDE w:val="0"/>
              <w:autoSpaceDN w:val="0"/>
              <w:spacing w:line="380" w:lineRule="atLeast"/>
              <w:ind w:left="113" w:firstLine="13"/>
              <w:textAlignment w:val="bottom"/>
              <w:rPr>
                <w:rFonts w:ascii="楷体" w:hAnsi="楷体"/>
              </w:rPr>
            </w:pPr>
            <w:r>
              <w:rPr>
                <w:rFonts w:ascii="楷体" w:hAnsi="楷体"/>
              </w:rPr>
              <w:t>二.净资产</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万元</w:t>
            </w:r>
          </w:p>
        </w:tc>
        <w:tc>
          <w:tcPr>
            <w:tcW w:w="1559" w:type="dxa"/>
          </w:tcPr>
          <w:p>
            <w:pPr>
              <w:widowControl/>
              <w:autoSpaceDE w:val="0"/>
              <w:autoSpaceDN w:val="0"/>
              <w:spacing w:line="380" w:lineRule="atLeast"/>
              <w:ind w:firstLine="13"/>
              <w:jc w:val="center"/>
              <w:textAlignment w:val="bottom"/>
              <w:rPr>
                <w:rFonts w:ascii="楷体" w:hAnsi="楷体"/>
              </w:rPr>
            </w:pPr>
            <w:r>
              <w:rPr>
                <w:rFonts w:hint="eastAsia" w:ascii="楷体" w:hAnsi="楷体"/>
              </w:rPr>
              <w:t>1334527.188863</w:t>
            </w:r>
          </w:p>
        </w:tc>
        <w:tc>
          <w:tcPr>
            <w:tcW w:w="1559" w:type="dxa"/>
          </w:tcPr>
          <w:p>
            <w:pPr>
              <w:widowControl/>
              <w:autoSpaceDE w:val="0"/>
              <w:autoSpaceDN w:val="0"/>
              <w:spacing w:line="380" w:lineRule="atLeast"/>
              <w:ind w:firstLine="13"/>
              <w:jc w:val="center"/>
              <w:textAlignment w:val="bottom"/>
              <w:rPr>
                <w:rFonts w:ascii="楷体" w:hAnsi="楷体"/>
              </w:rPr>
            </w:pPr>
            <w:r>
              <w:rPr>
                <w:rFonts w:hint="eastAsia" w:ascii="楷体" w:hAnsi="楷体"/>
              </w:rPr>
              <w:t>1518947.858823</w:t>
            </w:r>
          </w:p>
        </w:tc>
        <w:tc>
          <w:tcPr>
            <w:tcW w:w="1571" w:type="dxa"/>
          </w:tcPr>
          <w:p>
            <w:pPr>
              <w:widowControl/>
              <w:autoSpaceDE w:val="0"/>
              <w:autoSpaceDN w:val="0"/>
              <w:spacing w:line="380" w:lineRule="atLeast"/>
              <w:ind w:firstLine="13"/>
              <w:jc w:val="center"/>
              <w:textAlignment w:val="bottom"/>
              <w:rPr>
                <w:rFonts w:ascii="楷体" w:hAnsi="楷体"/>
              </w:rPr>
            </w:pPr>
            <w:r>
              <w:rPr>
                <w:rFonts w:ascii="楷体" w:hAnsi="楷体"/>
              </w:rPr>
              <w:t>1670797.190272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75" w:hRule="atLeast"/>
          <w:jc w:val="center"/>
        </w:trPr>
        <w:tc>
          <w:tcPr>
            <w:tcW w:w="2679" w:type="dxa"/>
          </w:tcPr>
          <w:p>
            <w:pPr>
              <w:widowControl/>
              <w:autoSpaceDE w:val="0"/>
              <w:autoSpaceDN w:val="0"/>
              <w:spacing w:line="380" w:lineRule="atLeast"/>
              <w:ind w:left="113" w:firstLine="13"/>
              <w:textAlignment w:val="bottom"/>
              <w:rPr>
                <w:rFonts w:ascii="楷体" w:hAnsi="楷体"/>
              </w:rPr>
            </w:pPr>
            <w:r>
              <w:rPr>
                <w:rFonts w:ascii="楷体" w:hAnsi="楷体"/>
              </w:rPr>
              <w:t>三.总资产</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万元</w:t>
            </w:r>
          </w:p>
        </w:tc>
        <w:tc>
          <w:tcPr>
            <w:tcW w:w="1559" w:type="dxa"/>
          </w:tcPr>
          <w:p>
            <w:pPr>
              <w:widowControl/>
              <w:autoSpaceDE w:val="0"/>
              <w:autoSpaceDN w:val="0"/>
              <w:spacing w:line="380" w:lineRule="atLeast"/>
              <w:ind w:firstLine="13"/>
              <w:jc w:val="center"/>
              <w:textAlignment w:val="bottom"/>
              <w:rPr>
                <w:rFonts w:ascii="楷体" w:hAnsi="楷体"/>
              </w:rPr>
            </w:pPr>
            <w:r>
              <w:rPr>
                <w:rFonts w:hint="eastAsia" w:ascii="楷体" w:hAnsi="楷体"/>
              </w:rPr>
              <w:t>1602547.289634</w:t>
            </w:r>
          </w:p>
        </w:tc>
        <w:tc>
          <w:tcPr>
            <w:tcW w:w="1559" w:type="dxa"/>
          </w:tcPr>
          <w:p>
            <w:pPr>
              <w:widowControl/>
              <w:autoSpaceDE w:val="0"/>
              <w:autoSpaceDN w:val="0"/>
              <w:spacing w:line="380" w:lineRule="atLeast"/>
              <w:ind w:firstLine="13"/>
              <w:jc w:val="center"/>
              <w:textAlignment w:val="bottom"/>
              <w:rPr>
                <w:rFonts w:ascii="楷体" w:hAnsi="楷体"/>
              </w:rPr>
            </w:pPr>
            <w:r>
              <w:rPr>
                <w:rFonts w:hint="eastAsia" w:ascii="楷体" w:hAnsi="楷体"/>
              </w:rPr>
              <w:t>1735937.425312</w:t>
            </w:r>
          </w:p>
        </w:tc>
        <w:tc>
          <w:tcPr>
            <w:tcW w:w="1571" w:type="dxa"/>
          </w:tcPr>
          <w:p>
            <w:pPr>
              <w:widowControl/>
              <w:autoSpaceDE w:val="0"/>
              <w:autoSpaceDN w:val="0"/>
              <w:spacing w:line="380" w:lineRule="atLeast"/>
              <w:ind w:firstLine="13"/>
              <w:jc w:val="center"/>
              <w:textAlignment w:val="bottom"/>
              <w:rPr>
                <w:rFonts w:ascii="楷体" w:hAnsi="楷体"/>
              </w:rPr>
            </w:pPr>
            <w:r>
              <w:rPr>
                <w:rFonts w:ascii="楷体" w:hAnsi="楷体"/>
              </w:rPr>
              <w:t>1887032.321921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75" w:hRule="atLeast"/>
          <w:jc w:val="center"/>
        </w:trPr>
        <w:tc>
          <w:tcPr>
            <w:tcW w:w="2679" w:type="dxa"/>
          </w:tcPr>
          <w:p>
            <w:pPr>
              <w:widowControl/>
              <w:autoSpaceDE w:val="0"/>
              <w:autoSpaceDN w:val="0"/>
              <w:spacing w:line="380" w:lineRule="atLeast"/>
              <w:ind w:left="113" w:firstLine="13"/>
              <w:textAlignment w:val="bottom"/>
              <w:rPr>
                <w:rFonts w:ascii="楷体" w:hAnsi="楷体"/>
              </w:rPr>
            </w:pPr>
            <w:r>
              <w:rPr>
                <w:rFonts w:ascii="楷体" w:hAnsi="楷体"/>
              </w:rPr>
              <w:t>四.固定资产(原值/净值)</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万元</w:t>
            </w:r>
          </w:p>
        </w:tc>
        <w:tc>
          <w:tcPr>
            <w:tcW w:w="1559" w:type="dxa"/>
          </w:tcPr>
          <w:p>
            <w:pPr>
              <w:widowControl/>
              <w:autoSpaceDE w:val="0"/>
              <w:autoSpaceDN w:val="0"/>
              <w:spacing w:line="380" w:lineRule="atLeast"/>
              <w:ind w:firstLine="13"/>
              <w:jc w:val="center"/>
              <w:textAlignment w:val="bottom"/>
              <w:rPr>
                <w:rFonts w:ascii="楷体" w:hAnsi="楷体"/>
              </w:rPr>
            </w:pPr>
            <w:r>
              <w:rPr>
                <w:rFonts w:hint="eastAsia" w:ascii="楷体" w:hAnsi="楷体"/>
              </w:rPr>
              <w:t>79856.96772</w:t>
            </w:r>
          </w:p>
        </w:tc>
        <w:tc>
          <w:tcPr>
            <w:tcW w:w="1559" w:type="dxa"/>
          </w:tcPr>
          <w:p>
            <w:pPr>
              <w:widowControl/>
              <w:autoSpaceDE w:val="0"/>
              <w:autoSpaceDN w:val="0"/>
              <w:spacing w:line="380" w:lineRule="atLeast"/>
              <w:ind w:firstLine="13"/>
              <w:jc w:val="center"/>
              <w:textAlignment w:val="bottom"/>
              <w:rPr>
                <w:rFonts w:ascii="楷体" w:hAnsi="楷体"/>
              </w:rPr>
            </w:pPr>
            <w:r>
              <w:rPr>
                <w:rFonts w:hint="eastAsia" w:ascii="楷体" w:hAnsi="楷体"/>
              </w:rPr>
              <w:t>844492.642226</w:t>
            </w:r>
          </w:p>
        </w:tc>
        <w:tc>
          <w:tcPr>
            <w:tcW w:w="1571" w:type="dxa"/>
          </w:tcPr>
          <w:p>
            <w:pPr>
              <w:widowControl/>
              <w:autoSpaceDE w:val="0"/>
              <w:autoSpaceDN w:val="0"/>
              <w:spacing w:line="380" w:lineRule="atLeast"/>
              <w:ind w:firstLine="13"/>
              <w:jc w:val="center"/>
              <w:textAlignment w:val="bottom"/>
              <w:rPr>
                <w:rFonts w:ascii="楷体" w:hAnsi="楷体"/>
              </w:rPr>
            </w:pPr>
            <w:r>
              <w:rPr>
                <w:rFonts w:ascii="楷体" w:hAnsi="楷体"/>
              </w:rPr>
              <w:t>978122.536387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75" w:hRule="atLeast"/>
          <w:jc w:val="center"/>
        </w:trPr>
        <w:tc>
          <w:tcPr>
            <w:tcW w:w="2679" w:type="dxa"/>
          </w:tcPr>
          <w:p>
            <w:pPr>
              <w:widowControl/>
              <w:autoSpaceDE w:val="0"/>
              <w:autoSpaceDN w:val="0"/>
              <w:spacing w:line="380" w:lineRule="atLeast"/>
              <w:ind w:left="113" w:firstLine="13"/>
              <w:textAlignment w:val="bottom"/>
              <w:rPr>
                <w:rFonts w:ascii="楷体" w:hAnsi="楷体"/>
              </w:rPr>
            </w:pPr>
            <w:r>
              <w:rPr>
                <w:rFonts w:ascii="楷体" w:hAnsi="楷体"/>
              </w:rPr>
              <w:t>五.流动资产</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万元</w:t>
            </w:r>
          </w:p>
        </w:tc>
        <w:tc>
          <w:tcPr>
            <w:tcW w:w="1559" w:type="dxa"/>
          </w:tcPr>
          <w:p>
            <w:pPr>
              <w:widowControl/>
              <w:autoSpaceDE w:val="0"/>
              <w:autoSpaceDN w:val="0"/>
              <w:spacing w:line="380" w:lineRule="atLeast"/>
              <w:ind w:firstLine="13"/>
              <w:jc w:val="center"/>
              <w:textAlignment w:val="bottom"/>
              <w:rPr>
                <w:rFonts w:ascii="楷体" w:hAnsi="楷体"/>
              </w:rPr>
            </w:pPr>
            <w:r>
              <w:rPr>
                <w:rFonts w:hint="eastAsia" w:ascii="楷体" w:hAnsi="楷体"/>
              </w:rPr>
              <w:t>79989.55996</w:t>
            </w:r>
          </w:p>
        </w:tc>
        <w:tc>
          <w:tcPr>
            <w:tcW w:w="1559" w:type="dxa"/>
          </w:tcPr>
          <w:p>
            <w:pPr>
              <w:widowControl/>
              <w:autoSpaceDE w:val="0"/>
              <w:autoSpaceDN w:val="0"/>
              <w:spacing w:line="380" w:lineRule="atLeast"/>
              <w:ind w:firstLine="13"/>
              <w:jc w:val="center"/>
              <w:textAlignment w:val="bottom"/>
              <w:rPr>
                <w:rFonts w:ascii="楷体" w:hAnsi="楷体"/>
              </w:rPr>
            </w:pPr>
            <w:r>
              <w:rPr>
                <w:rFonts w:hint="eastAsia" w:ascii="楷体" w:hAnsi="楷体"/>
              </w:rPr>
              <w:t>891444.783086</w:t>
            </w:r>
          </w:p>
        </w:tc>
        <w:tc>
          <w:tcPr>
            <w:tcW w:w="1571" w:type="dxa"/>
          </w:tcPr>
          <w:p>
            <w:pPr>
              <w:widowControl/>
              <w:autoSpaceDE w:val="0"/>
              <w:autoSpaceDN w:val="0"/>
              <w:spacing w:line="380" w:lineRule="atLeast"/>
              <w:ind w:firstLine="13"/>
              <w:jc w:val="center"/>
              <w:textAlignment w:val="bottom"/>
              <w:rPr>
                <w:rFonts w:ascii="楷体" w:hAnsi="楷体"/>
              </w:rPr>
            </w:pPr>
            <w:r>
              <w:rPr>
                <w:rFonts w:ascii="楷体" w:hAnsi="楷体"/>
              </w:rPr>
              <w:t>908909.785534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75" w:hRule="atLeast"/>
          <w:jc w:val="center"/>
        </w:trPr>
        <w:tc>
          <w:tcPr>
            <w:tcW w:w="2679" w:type="dxa"/>
          </w:tcPr>
          <w:p>
            <w:pPr>
              <w:widowControl/>
              <w:autoSpaceDE w:val="0"/>
              <w:autoSpaceDN w:val="0"/>
              <w:spacing w:line="380" w:lineRule="atLeast"/>
              <w:ind w:left="113" w:firstLine="13"/>
              <w:textAlignment w:val="bottom"/>
              <w:rPr>
                <w:rFonts w:ascii="楷体" w:hAnsi="楷体"/>
              </w:rPr>
            </w:pPr>
            <w:r>
              <w:rPr>
                <w:rFonts w:ascii="楷体" w:hAnsi="楷体"/>
              </w:rPr>
              <w:t>六.流动负债</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万元</w:t>
            </w:r>
          </w:p>
        </w:tc>
        <w:tc>
          <w:tcPr>
            <w:tcW w:w="1559" w:type="dxa"/>
          </w:tcPr>
          <w:p>
            <w:pPr>
              <w:widowControl/>
              <w:autoSpaceDE w:val="0"/>
              <w:autoSpaceDN w:val="0"/>
              <w:spacing w:line="380" w:lineRule="atLeast"/>
              <w:ind w:firstLine="13"/>
              <w:jc w:val="center"/>
              <w:textAlignment w:val="bottom"/>
              <w:rPr>
                <w:rFonts w:ascii="楷体" w:hAnsi="楷体"/>
              </w:rPr>
            </w:pPr>
          </w:p>
        </w:tc>
        <w:tc>
          <w:tcPr>
            <w:tcW w:w="1559" w:type="dxa"/>
          </w:tcPr>
          <w:p>
            <w:pPr>
              <w:widowControl/>
              <w:autoSpaceDE w:val="0"/>
              <w:autoSpaceDN w:val="0"/>
              <w:spacing w:line="380" w:lineRule="atLeast"/>
              <w:ind w:firstLine="13"/>
              <w:jc w:val="center"/>
              <w:textAlignment w:val="bottom"/>
              <w:rPr>
                <w:rFonts w:ascii="楷体" w:hAnsi="楷体"/>
              </w:rPr>
            </w:pPr>
          </w:p>
        </w:tc>
        <w:tc>
          <w:tcPr>
            <w:tcW w:w="1571" w:type="dxa"/>
          </w:tcPr>
          <w:p>
            <w:pPr>
              <w:widowControl/>
              <w:autoSpaceDE w:val="0"/>
              <w:autoSpaceDN w:val="0"/>
              <w:spacing w:line="380" w:lineRule="atLeast"/>
              <w:ind w:firstLine="13"/>
              <w:jc w:val="center"/>
              <w:textAlignment w:val="bottom"/>
              <w:rPr>
                <w:rFonts w:ascii="楷体" w:hAnsi="楷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75" w:hRule="atLeast"/>
          <w:jc w:val="center"/>
        </w:trPr>
        <w:tc>
          <w:tcPr>
            <w:tcW w:w="2679" w:type="dxa"/>
          </w:tcPr>
          <w:p>
            <w:pPr>
              <w:widowControl/>
              <w:autoSpaceDE w:val="0"/>
              <w:autoSpaceDN w:val="0"/>
              <w:spacing w:line="380" w:lineRule="atLeast"/>
              <w:ind w:left="113" w:firstLine="13"/>
              <w:textAlignment w:val="bottom"/>
              <w:rPr>
                <w:rFonts w:ascii="楷体" w:hAnsi="楷体"/>
              </w:rPr>
            </w:pPr>
            <w:r>
              <w:rPr>
                <w:rFonts w:ascii="楷体" w:hAnsi="楷体"/>
              </w:rPr>
              <w:t>七.负债合计</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万元</w:t>
            </w:r>
          </w:p>
        </w:tc>
        <w:tc>
          <w:tcPr>
            <w:tcW w:w="1559" w:type="dxa"/>
          </w:tcPr>
          <w:p>
            <w:pPr>
              <w:widowControl/>
              <w:autoSpaceDE w:val="0"/>
              <w:autoSpaceDN w:val="0"/>
              <w:spacing w:line="380" w:lineRule="atLeast"/>
              <w:ind w:firstLine="13"/>
              <w:jc w:val="center"/>
              <w:textAlignment w:val="bottom"/>
              <w:rPr>
                <w:rFonts w:ascii="楷体" w:hAnsi="楷体"/>
              </w:rPr>
            </w:pPr>
            <w:r>
              <w:rPr>
                <w:rFonts w:hint="eastAsia" w:ascii="楷体" w:hAnsi="楷体"/>
              </w:rPr>
              <w:t>7899.198654</w:t>
            </w:r>
          </w:p>
        </w:tc>
        <w:tc>
          <w:tcPr>
            <w:tcW w:w="1559" w:type="dxa"/>
          </w:tcPr>
          <w:p>
            <w:pPr>
              <w:widowControl/>
              <w:autoSpaceDE w:val="0"/>
              <w:autoSpaceDN w:val="0"/>
              <w:spacing w:line="380" w:lineRule="atLeast"/>
              <w:ind w:firstLine="13"/>
              <w:jc w:val="center"/>
              <w:textAlignment w:val="bottom"/>
              <w:rPr>
                <w:rFonts w:ascii="楷体" w:hAnsi="楷体"/>
              </w:rPr>
            </w:pPr>
            <w:r>
              <w:rPr>
                <w:rFonts w:hint="eastAsia" w:ascii="楷体" w:hAnsi="楷体"/>
              </w:rPr>
              <w:t>216989.566489</w:t>
            </w:r>
          </w:p>
        </w:tc>
        <w:tc>
          <w:tcPr>
            <w:tcW w:w="1571" w:type="dxa"/>
          </w:tcPr>
          <w:p>
            <w:pPr>
              <w:widowControl/>
              <w:autoSpaceDE w:val="0"/>
              <w:autoSpaceDN w:val="0"/>
              <w:spacing w:line="380" w:lineRule="atLeast"/>
              <w:ind w:firstLine="13"/>
              <w:jc w:val="center"/>
              <w:textAlignment w:val="bottom"/>
              <w:rPr>
                <w:rFonts w:ascii="楷体" w:hAnsi="楷体"/>
              </w:rPr>
            </w:pPr>
            <w:r>
              <w:rPr>
                <w:rFonts w:ascii="楷体" w:hAnsi="楷体"/>
              </w:rPr>
              <w:t>216235.131649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75" w:hRule="atLeast"/>
          <w:jc w:val="center"/>
        </w:trPr>
        <w:tc>
          <w:tcPr>
            <w:tcW w:w="2679" w:type="dxa"/>
          </w:tcPr>
          <w:p>
            <w:pPr>
              <w:widowControl/>
              <w:autoSpaceDE w:val="0"/>
              <w:autoSpaceDN w:val="0"/>
              <w:spacing w:line="380" w:lineRule="atLeast"/>
              <w:ind w:left="113" w:firstLine="13"/>
              <w:textAlignment w:val="bottom"/>
              <w:rPr>
                <w:rFonts w:ascii="楷体" w:hAnsi="楷体"/>
              </w:rPr>
            </w:pPr>
            <w:r>
              <w:rPr>
                <w:rFonts w:ascii="楷体" w:hAnsi="楷体"/>
              </w:rPr>
              <w:t>八.营业收入</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万元</w:t>
            </w:r>
          </w:p>
        </w:tc>
        <w:tc>
          <w:tcPr>
            <w:tcW w:w="1559" w:type="dxa"/>
          </w:tcPr>
          <w:p>
            <w:pPr>
              <w:widowControl/>
              <w:autoSpaceDE w:val="0"/>
              <w:autoSpaceDN w:val="0"/>
              <w:spacing w:line="380" w:lineRule="atLeast"/>
              <w:ind w:firstLine="13"/>
              <w:jc w:val="right"/>
              <w:textAlignment w:val="bottom"/>
              <w:rPr>
                <w:rFonts w:ascii="楷体" w:hAnsi="楷体"/>
              </w:rPr>
            </w:pPr>
          </w:p>
        </w:tc>
        <w:tc>
          <w:tcPr>
            <w:tcW w:w="1559" w:type="dxa"/>
          </w:tcPr>
          <w:p>
            <w:pPr>
              <w:widowControl/>
              <w:autoSpaceDE w:val="0"/>
              <w:autoSpaceDN w:val="0"/>
              <w:spacing w:line="380" w:lineRule="atLeast"/>
              <w:ind w:firstLine="13"/>
              <w:jc w:val="right"/>
              <w:textAlignment w:val="bottom"/>
              <w:rPr>
                <w:rFonts w:ascii="楷体" w:hAnsi="楷体"/>
              </w:rPr>
            </w:pPr>
          </w:p>
        </w:tc>
        <w:tc>
          <w:tcPr>
            <w:tcW w:w="1571" w:type="dxa"/>
          </w:tcPr>
          <w:p>
            <w:pPr>
              <w:widowControl/>
              <w:autoSpaceDE w:val="0"/>
              <w:autoSpaceDN w:val="0"/>
              <w:spacing w:line="380" w:lineRule="atLeast"/>
              <w:ind w:firstLine="13"/>
              <w:jc w:val="right"/>
              <w:textAlignment w:val="bottom"/>
              <w:rPr>
                <w:rFonts w:ascii="楷体" w:hAnsi="楷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75" w:hRule="atLeast"/>
          <w:jc w:val="center"/>
        </w:trPr>
        <w:tc>
          <w:tcPr>
            <w:tcW w:w="2679" w:type="dxa"/>
          </w:tcPr>
          <w:p>
            <w:pPr>
              <w:widowControl/>
              <w:autoSpaceDE w:val="0"/>
              <w:autoSpaceDN w:val="0"/>
              <w:spacing w:line="380" w:lineRule="atLeast"/>
              <w:ind w:left="113" w:firstLine="13"/>
              <w:textAlignment w:val="bottom"/>
              <w:rPr>
                <w:rFonts w:ascii="楷体" w:hAnsi="楷体"/>
              </w:rPr>
            </w:pPr>
            <w:r>
              <w:rPr>
                <w:rFonts w:ascii="楷体" w:hAnsi="楷体"/>
              </w:rPr>
              <w:t>九.净利润</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万元</w:t>
            </w:r>
          </w:p>
        </w:tc>
        <w:tc>
          <w:tcPr>
            <w:tcW w:w="1559" w:type="dxa"/>
          </w:tcPr>
          <w:p>
            <w:pPr>
              <w:widowControl/>
              <w:autoSpaceDE w:val="0"/>
              <w:autoSpaceDN w:val="0"/>
              <w:spacing w:line="380" w:lineRule="atLeast"/>
              <w:ind w:firstLine="13"/>
              <w:jc w:val="right"/>
              <w:textAlignment w:val="bottom"/>
              <w:rPr>
                <w:rFonts w:ascii="楷体" w:hAnsi="楷体"/>
              </w:rPr>
            </w:pPr>
          </w:p>
        </w:tc>
        <w:tc>
          <w:tcPr>
            <w:tcW w:w="1559" w:type="dxa"/>
          </w:tcPr>
          <w:p>
            <w:pPr>
              <w:widowControl/>
              <w:autoSpaceDE w:val="0"/>
              <w:autoSpaceDN w:val="0"/>
              <w:spacing w:line="380" w:lineRule="atLeast"/>
              <w:ind w:firstLine="13"/>
              <w:jc w:val="right"/>
              <w:textAlignment w:val="bottom"/>
              <w:rPr>
                <w:rFonts w:ascii="楷体" w:hAnsi="楷体"/>
              </w:rPr>
            </w:pPr>
          </w:p>
        </w:tc>
        <w:tc>
          <w:tcPr>
            <w:tcW w:w="1571" w:type="dxa"/>
          </w:tcPr>
          <w:p>
            <w:pPr>
              <w:widowControl/>
              <w:autoSpaceDE w:val="0"/>
              <w:autoSpaceDN w:val="0"/>
              <w:spacing w:line="380" w:lineRule="atLeast"/>
              <w:ind w:firstLine="13"/>
              <w:jc w:val="right"/>
              <w:textAlignment w:val="bottom"/>
              <w:rPr>
                <w:rFonts w:ascii="楷体" w:hAnsi="楷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75" w:hRule="atLeast"/>
          <w:jc w:val="center"/>
        </w:trPr>
        <w:tc>
          <w:tcPr>
            <w:tcW w:w="2679" w:type="dxa"/>
          </w:tcPr>
          <w:p>
            <w:pPr>
              <w:widowControl/>
              <w:autoSpaceDE w:val="0"/>
              <w:autoSpaceDN w:val="0"/>
              <w:spacing w:line="380" w:lineRule="atLeast"/>
              <w:ind w:left="113" w:firstLine="13"/>
              <w:textAlignment w:val="bottom"/>
              <w:rPr>
                <w:rFonts w:ascii="楷体" w:hAnsi="楷体"/>
              </w:rPr>
            </w:pPr>
            <w:r>
              <w:rPr>
                <w:rFonts w:ascii="楷体" w:hAnsi="楷体"/>
              </w:rPr>
              <w:t>十.现金流量净额</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万元</w:t>
            </w:r>
          </w:p>
        </w:tc>
        <w:tc>
          <w:tcPr>
            <w:tcW w:w="1559" w:type="dxa"/>
          </w:tcPr>
          <w:p>
            <w:pPr>
              <w:widowControl/>
              <w:autoSpaceDE w:val="0"/>
              <w:autoSpaceDN w:val="0"/>
              <w:spacing w:line="380" w:lineRule="atLeast"/>
              <w:ind w:firstLine="13"/>
              <w:jc w:val="right"/>
              <w:textAlignment w:val="bottom"/>
              <w:rPr>
                <w:rFonts w:ascii="楷体" w:hAnsi="楷体"/>
              </w:rPr>
            </w:pPr>
          </w:p>
        </w:tc>
        <w:tc>
          <w:tcPr>
            <w:tcW w:w="1559" w:type="dxa"/>
          </w:tcPr>
          <w:p>
            <w:pPr>
              <w:widowControl/>
              <w:autoSpaceDE w:val="0"/>
              <w:autoSpaceDN w:val="0"/>
              <w:spacing w:line="380" w:lineRule="atLeast"/>
              <w:ind w:firstLine="13"/>
              <w:jc w:val="right"/>
              <w:textAlignment w:val="bottom"/>
              <w:rPr>
                <w:rFonts w:ascii="楷体" w:hAnsi="楷体"/>
              </w:rPr>
            </w:pPr>
          </w:p>
        </w:tc>
        <w:tc>
          <w:tcPr>
            <w:tcW w:w="1571" w:type="dxa"/>
          </w:tcPr>
          <w:p>
            <w:pPr>
              <w:widowControl/>
              <w:autoSpaceDE w:val="0"/>
              <w:autoSpaceDN w:val="0"/>
              <w:spacing w:line="380" w:lineRule="atLeast"/>
              <w:ind w:firstLine="13"/>
              <w:jc w:val="right"/>
              <w:textAlignment w:val="bottom"/>
              <w:rPr>
                <w:rFonts w:ascii="楷体" w:hAnsi="楷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75" w:hRule="atLeast"/>
          <w:jc w:val="center"/>
        </w:trPr>
        <w:tc>
          <w:tcPr>
            <w:tcW w:w="2679" w:type="dxa"/>
          </w:tcPr>
          <w:p>
            <w:pPr>
              <w:widowControl/>
              <w:autoSpaceDE w:val="0"/>
              <w:autoSpaceDN w:val="0"/>
              <w:spacing w:line="380" w:lineRule="atLeast"/>
              <w:ind w:left="840" w:hanging="714"/>
              <w:textAlignment w:val="bottom"/>
              <w:rPr>
                <w:rFonts w:ascii="楷体" w:hAnsi="楷体"/>
              </w:rPr>
            </w:pPr>
            <w:r>
              <w:rPr>
                <w:rFonts w:ascii="楷体" w:hAnsi="楷体"/>
              </w:rPr>
              <w:t>十一.主要财务指标</w:t>
            </w:r>
          </w:p>
        </w:tc>
        <w:tc>
          <w:tcPr>
            <w:tcW w:w="992" w:type="dxa"/>
          </w:tcPr>
          <w:p>
            <w:pPr>
              <w:widowControl/>
              <w:autoSpaceDE w:val="0"/>
              <w:autoSpaceDN w:val="0"/>
              <w:spacing w:line="380" w:lineRule="atLeast"/>
              <w:ind w:firstLine="13"/>
              <w:jc w:val="center"/>
              <w:textAlignment w:val="bottom"/>
              <w:rPr>
                <w:rFonts w:ascii="楷体" w:hAnsi="楷体"/>
              </w:rPr>
            </w:pPr>
          </w:p>
        </w:tc>
        <w:tc>
          <w:tcPr>
            <w:tcW w:w="1559" w:type="dxa"/>
          </w:tcPr>
          <w:p>
            <w:pPr>
              <w:widowControl/>
              <w:autoSpaceDE w:val="0"/>
              <w:autoSpaceDN w:val="0"/>
              <w:spacing w:line="380" w:lineRule="atLeast"/>
              <w:ind w:firstLine="13"/>
              <w:jc w:val="right"/>
              <w:textAlignment w:val="bottom"/>
              <w:rPr>
                <w:rFonts w:ascii="楷体" w:hAnsi="楷体"/>
              </w:rPr>
            </w:pPr>
          </w:p>
        </w:tc>
        <w:tc>
          <w:tcPr>
            <w:tcW w:w="1559" w:type="dxa"/>
          </w:tcPr>
          <w:p>
            <w:pPr>
              <w:widowControl/>
              <w:autoSpaceDE w:val="0"/>
              <w:autoSpaceDN w:val="0"/>
              <w:spacing w:line="380" w:lineRule="atLeast"/>
              <w:ind w:firstLine="13"/>
              <w:jc w:val="right"/>
              <w:textAlignment w:val="bottom"/>
              <w:rPr>
                <w:rFonts w:ascii="楷体" w:hAnsi="楷体"/>
              </w:rPr>
            </w:pPr>
          </w:p>
        </w:tc>
        <w:tc>
          <w:tcPr>
            <w:tcW w:w="1571" w:type="dxa"/>
          </w:tcPr>
          <w:p>
            <w:pPr>
              <w:widowControl/>
              <w:autoSpaceDE w:val="0"/>
              <w:autoSpaceDN w:val="0"/>
              <w:spacing w:line="380" w:lineRule="atLeast"/>
              <w:ind w:firstLine="13"/>
              <w:jc w:val="right"/>
              <w:textAlignment w:val="bottom"/>
              <w:rPr>
                <w:rFonts w:ascii="楷体" w:hAnsi="楷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75" w:hRule="atLeast"/>
          <w:jc w:val="center"/>
        </w:trPr>
        <w:tc>
          <w:tcPr>
            <w:tcW w:w="2679" w:type="dxa"/>
          </w:tcPr>
          <w:p>
            <w:pPr>
              <w:widowControl/>
              <w:autoSpaceDE w:val="0"/>
              <w:autoSpaceDN w:val="0"/>
              <w:spacing w:line="380" w:lineRule="atLeast"/>
              <w:ind w:left="113" w:leftChars="54" w:firstLine="432" w:firstLineChars="206"/>
              <w:textAlignment w:val="bottom"/>
              <w:rPr>
                <w:rFonts w:ascii="楷体" w:hAnsi="楷体"/>
              </w:rPr>
            </w:pPr>
            <w:r>
              <w:rPr>
                <w:rFonts w:ascii="楷体" w:hAnsi="楷体"/>
              </w:rPr>
              <w:t>1.净资产收益率</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w:t>
            </w:r>
          </w:p>
        </w:tc>
        <w:tc>
          <w:tcPr>
            <w:tcW w:w="1559" w:type="dxa"/>
          </w:tcPr>
          <w:p>
            <w:pPr>
              <w:widowControl/>
              <w:autoSpaceDE w:val="0"/>
              <w:autoSpaceDN w:val="0"/>
              <w:spacing w:line="380" w:lineRule="atLeast"/>
              <w:ind w:firstLine="13"/>
              <w:jc w:val="right"/>
              <w:textAlignment w:val="bottom"/>
              <w:rPr>
                <w:rFonts w:ascii="楷体" w:hAnsi="楷体"/>
              </w:rPr>
            </w:pPr>
          </w:p>
        </w:tc>
        <w:tc>
          <w:tcPr>
            <w:tcW w:w="1559" w:type="dxa"/>
          </w:tcPr>
          <w:p>
            <w:pPr>
              <w:widowControl/>
              <w:autoSpaceDE w:val="0"/>
              <w:autoSpaceDN w:val="0"/>
              <w:spacing w:line="380" w:lineRule="atLeast"/>
              <w:ind w:firstLine="13"/>
              <w:jc w:val="right"/>
              <w:textAlignment w:val="bottom"/>
              <w:rPr>
                <w:rFonts w:ascii="楷体" w:hAnsi="楷体"/>
              </w:rPr>
            </w:pPr>
          </w:p>
        </w:tc>
        <w:tc>
          <w:tcPr>
            <w:tcW w:w="1571" w:type="dxa"/>
          </w:tcPr>
          <w:p>
            <w:pPr>
              <w:widowControl/>
              <w:autoSpaceDE w:val="0"/>
              <w:autoSpaceDN w:val="0"/>
              <w:spacing w:line="380" w:lineRule="atLeast"/>
              <w:ind w:firstLine="13"/>
              <w:jc w:val="right"/>
              <w:textAlignment w:val="bottom"/>
              <w:rPr>
                <w:rFonts w:ascii="楷体" w:hAnsi="楷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75" w:hRule="atLeast"/>
          <w:jc w:val="center"/>
        </w:trPr>
        <w:tc>
          <w:tcPr>
            <w:tcW w:w="2679" w:type="dxa"/>
          </w:tcPr>
          <w:p>
            <w:pPr>
              <w:widowControl/>
              <w:autoSpaceDE w:val="0"/>
              <w:autoSpaceDN w:val="0"/>
              <w:spacing w:line="380" w:lineRule="atLeast"/>
              <w:ind w:left="113" w:leftChars="54" w:firstLine="432" w:firstLineChars="206"/>
              <w:textAlignment w:val="bottom"/>
              <w:rPr>
                <w:rFonts w:ascii="楷体" w:hAnsi="楷体"/>
              </w:rPr>
            </w:pPr>
            <w:r>
              <w:rPr>
                <w:rFonts w:ascii="楷体" w:hAnsi="楷体"/>
              </w:rPr>
              <w:t>2.总资产报酬率</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w:t>
            </w:r>
          </w:p>
        </w:tc>
        <w:tc>
          <w:tcPr>
            <w:tcW w:w="1559" w:type="dxa"/>
          </w:tcPr>
          <w:p>
            <w:pPr>
              <w:widowControl/>
              <w:autoSpaceDE w:val="0"/>
              <w:autoSpaceDN w:val="0"/>
              <w:spacing w:line="380" w:lineRule="atLeast"/>
              <w:ind w:firstLine="13"/>
              <w:jc w:val="right"/>
              <w:textAlignment w:val="bottom"/>
              <w:rPr>
                <w:rFonts w:ascii="楷体" w:hAnsi="楷体"/>
              </w:rPr>
            </w:pPr>
          </w:p>
        </w:tc>
        <w:tc>
          <w:tcPr>
            <w:tcW w:w="1559" w:type="dxa"/>
          </w:tcPr>
          <w:p>
            <w:pPr>
              <w:widowControl/>
              <w:autoSpaceDE w:val="0"/>
              <w:autoSpaceDN w:val="0"/>
              <w:spacing w:line="380" w:lineRule="atLeast"/>
              <w:ind w:firstLine="13"/>
              <w:jc w:val="right"/>
              <w:textAlignment w:val="bottom"/>
              <w:rPr>
                <w:rFonts w:ascii="楷体" w:hAnsi="楷体"/>
              </w:rPr>
            </w:pPr>
          </w:p>
        </w:tc>
        <w:tc>
          <w:tcPr>
            <w:tcW w:w="1571" w:type="dxa"/>
          </w:tcPr>
          <w:p>
            <w:pPr>
              <w:widowControl/>
              <w:autoSpaceDE w:val="0"/>
              <w:autoSpaceDN w:val="0"/>
              <w:spacing w:line="380" w:lineRule="atLeast"/>
              <w:ind w:firstLine="13"/>
              <w:jc w:val="right"/>
              <w:textAlignment w:val="bottom"/>
              <w:rPr>
                <w:rFonts w:ascii="楷体" w:hAnsi="楷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75" w:hRule="atLeast"/>
          <w:jc w:val="center"/>
        </w:trPr>
        <w:tc>
          <w:tcPr>
            <w:tcW w:w="2679" w:type="dxa"/>
            <w:shd w:val="clear" w:color="auto" w:fill="CCFFFF"/>
          </w:tcPr>
          <w:p>
            <w:pPr>
              <w:widowControl/>
              <w:autoSpaceDE w:val="0"/>
              <w:autoSpaceDN w:val="0"/>
              <w:spacing w:line="380" w:lineRule="atLeast"/>
              <w:ind w:left="113" w:leftChars="54" w:firstLine="432" w:firstLineChars="206"/>
              <w:textAlignment w:val="bottom"/>
              <w:rPr>
                <w:rFonts w:ascii="楷体" w:hAnsi="楷体"/>
              </w:rPr>
            </w:pPr>
            <w:r>
              <w:rPr>
                <w:rFonts w:ascii="楷体" w:hAnsi="楷体"/>
              </w:rPr>
              <w:t>3.主营业务利润率</w:t>
            </w:r>
          </w:p>
        </w:tc>
        <w:tc>
          <w:tcPr>
            <w:tcW w:w="992" w:type="dxa"/>
            <w:shd w:val="clear" w:color="auto" w:fill="CCFFFF"/>
          </w:tcPr>
          <w:p>
            <w:pPr>
              <w:widowControl/>
              <w:autoSpaceDE w:val="0"/>
              <w:autoSpaceDN w:val="0"/>
              <w:spacing w:line="380" w:lineRule="atLeast"/>
              <w:ind w:firstLine="13"/>
              <w:jc w:val="center"/>
              <w:textAlignment w:val="bottom"/>
              <w:rPr>
                <w:rFonts w:ascii="楷体" w:hAnsi="楷体"/>
              </w:rPr>
            </w:pPr>
            <w:r>
              <w:rPr>
                <w:rFonts w:ascii="楷体" w:hAnsi="楷体"/>
              </w:rPr>
              <w:t>%</w:t>
            </w:r>
          </w:p>
        </w:tc>
        <w:tc>
          <w:tcPr>
            <w:tcW w:w="1559" w:type="dxa"/>
            <w:shd w:val="clear" w:color="auto" w:fill="CCFFFF"/>
          </w:tcPr>
          <w:p>
            <w:pPr>
              <w:widowControl/>
              <w:autoSpaceDE w:val="0"/>
              <w:autoSpaceDN w:val="0"/>
              <w:spacing w:line="380" w:lineRule="atLeast"/>
              <w:ind w:firstLine="13"/>
              <w:jc w:val="right"/>
              <w:textAlignment w:val="bottom"/>
              <w:rPr>
                <w:rFonts w:ascii="楷体" w:hAnsi="楷体"/>
              </w:rPr>
            </w:pPr>
          </w:p>
        </w:tc>
        <w:tc>
          <w:tcPr>
            <w:tcW w:w="1559" w:type="dxa"/>
            <w:shd w:val="clear" w:color="auto" w:fill="CCFFFF"/>
          </w:tcPr>
          <w:p>
            <w:pPr>
              <w:widowControl/>
              <w:autoSpaceDE w:val="0"/>
              <w:autoSpaceDN w:val="0"/>
              <w:spacing w:line="380" w:lineRule="atLeast"/>
              <w:ind w:firstLine="13"/>
              <w:jc w:val="right"/>
              <w:textAlignment w:val="bottom"/>
              <w:rPr>
                <w:rFonts w:ascii="楷体" w:hAnsi="楷体"/>
              </w:rPr>
            </w:pPr>
          </w:p>
        </w:tc>
        <w:tc>
          <w:tcPr>
            <w:tcW w:w="1571" w:type="dxa"/>
            <w:shd w:val="clear" w:color="auto" w:fill="CCFFFF"/>
          </w:tcPr>
          <w:p>
            <w:pPr>
              <w:widowControl/>
              <w:autoSpaceDE w:val="0"/>
              <w:autoSpaceDN w:val="0"/>
              <w:spacing w:line="380" w:lineRule="atLeast"/>
              <w:ind w:firstLine="13"/>
              <w:jc w:val="right"/>
              <w:textAlignment w:val="bottom"/>
              <w:rPr>
                <w:rFonts w:ascii="楷体" w:hAnsi="楷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75" w:hRule="atLeast"/>
          <w:jc w:val="center"/>
        </w:trPr>
        <w:tc>
          <w:tcPr>
            <w:tcW w:w="2679" w:type="dxa"/>
            <w:shd w:val="clear" w:color="auto" w:fill="CCFFFF"/>
          </w:tcPr>
          <w:p>
            <w:pPr>
              <w:widowControl/>
              <w:autoSpaceDE w:val="0"/>
              <w:autoSpaceDN w:val="0"/>
              <w:spacing w:line="380" w:lineRule="atLeast"/>
              <w:ind w:left="113" w:leftChars="54" w:firstLine="432" w:firstLineChars="206"/>
              <w:textAlignment w:val="bottom"/>
              <w:rPr>
                <w:rFonts w:ascii="楷体" w:hAnsi="楷体"/>
              </w:rPr>
            </w:pPr>
            <w:r>
              <w:rPr>
                <w:rFonts w:ascii="楷体" w:hAnsi="楷体"/>
              </w:rPr>
              <w:t>4.资产负债率</w:t>
            </w:r>
          </w:p>
        </w:tc>
        <w:tc>
          <w:tcPr>
            <w:tcW w:w="992" w:type="dxa"/>
            <w:shd w:val="clear" w:color="auto" w:fill="CCFFFF"/>
          </w:tcPr>
          <w:p>
            <w:pPr>
              <w:widowControl/>
              <w:autoSpaceDE w:val="0"/>
              <w:autoSpaceDN w:val="0"/>
              <w:spacing w:line="380" w:lineRule="atLeast"/>
              <w:ind w:firstLine="13"/>
              <w:jc w:val="center"/>
              <w:textAlignment w:val="bottom"/>
              <w:rPr>
                <w:rFonts w:ascii="楷体" w:hAnsi="楷体"/>
              </w:rPr>
            </w:pPr>
            <w:r>
              <w:rPr>
                <w:rFonts w:ascii="楷体" w:hAnsi="楷体"/>
              </w:rPr>
              <w:t>%</w:t>
            </w:r>
          </w:p>
        </w:tc>
        <w:tc>
          <w:tcPr>
            <w:tcW w:w="1559" w:type="dxa"/>
            <w:shd w:val="clear" w:color="auto" w:fill="CCFFFF"/>
          </w:tcPr>
          <w:p>
            <w:pPr>
              <w:widowControl/>
              <w:autoSpaceDE w:val="0"/>
              <w:autoSpaceDN w:val="0"/>
              <w:spacing w:line="380" w:lineRule="atLeast"/>
              <w:ind w:firstLine="13"/>
              <w:jc w:val="right"/>
              <w:textAlignment w:val="bottom"/>
              <w:rPr>
                <w:rFonts w:ascii="楷体" w:hAnsi="楷体"/>
              </w:rPr>
            </w:pPr>
          </w:p>
        </w:tc>
        <w:tc>
          <w:tcPr>
            <w:tcW w:w="1559" w:type="dxa"/>
            <w:shd w:val="clear" w:color="auto" w:fill="CCFFFF"/>
          </w:tcPr>
          <w:p>
            <w:pPr>
              <w:widowControl/>
              <w:autoSpaceDE w:val="0"/>
              <w:autoSpaceDN w:val="0"/>
              <w:spacing w:line="380" w:lineRule="atLeast"/>
              <w:ind w:firstLine="13"/>
              <w:jc w:val="right"/>
              <w:textAlignment w:val="bottom"/>
              <w:rPr>
                <w:rFonts w:ascii="楷体" w:hAnsi="楷体"/>
              </w:rPr>
            </w:pPr>
          </w:p>
        </w:tc>
        <w:tc>
          <w:tcPr>
            <w:tcW w:w="1571" w:type="dxa"/>
            <w:shd w:val="clear" w:color="auto" w:fill="CCFFFF"/>
          </w:tcPr>
          <w:p>
            <w:pPr>
              <w:widowControl/>
              <w:autoSpaceDE w:val="0"/>
              <w:autoSpaceDN w:val="0"/>
              <w:spacing w:line="380" w:lineRule="atLeast"/>
              <w:ind w:firstLine="13"/>
              <w:jc w:val="right"/>
              <w:textAlignment w:val="bottom"/>
              <w:rPr>
                <w:rFonts w:ascii="楷体" w:hAnsi="楷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75" w:hRule="atLeast"/>
          <w:jc w:val="center"/>
        </w:trPr>
        <w:tc>
          <w:tcPr>
            <w:tcW w:w="2679" w:type="dxa"/>
          </w:tcPr>
          <w:p>
            <w:pPr>
              <w:widowControl/>
              <w:autoSpaceDE w:val="0"/>
              <w:autoSpaceDN w:val="0"/>
              <w:spacing w:line="380" w:lineRule="atLeast"/>
              <w:ind w:left="113" w:leftChars="54" w:firstLine="432" w:firstLineChars="206"/>
              <w:textAlignment w:val="bottom"/>
              <w:rPr>
                <w:rFonts w:ascii="楷体" w:hAnsi="楷体"/>
              </w:rPr>
            </w:pPr>
            <w:r>
              <w:rPr>
                <w:rFonts w:ascii="楷体" w:hAnsi="楷体"/>
              </w:rPr>
              <w:t>5</w:t>
            </w:r>
            <w:r>
              <w:rPr>
                <w:rFonts w:hint="eastAsia" w:ascii="楷体" w:hAnsi="楷体"/>
              </w:rPr>
              <w:t>.</w:t>
            </w:r>
            <w:r>
              <w:rPr>
                <w:rFonts w:ascii="楷体" w:hAnsi="楷体"/>
              </w:rPr>
              <w:t>流动比率</w:t>
            </w:r>
          </w:p>
        </w:tc>
        <w:tc>
          <w:tcPr>
            <w:tcW w:w="992" w:type="dxa"/>
          </w:tcPr>
          <w:p>
            <w:pPr>
              <w:widowControl/>
              <w:autoSpaceDE w:val="0"/>
              <w:autoSpaceDN w:val="0"/>
              <w:spacing w:line="380" w:lineRule="atLeast"/>
              <w:ind w:firstLine="13"/>
              <w:jc w:val="center"/>
              <w:textAlignment w:val="bottom"/>
              <w:rPr>
                <w:rFonts w:ascii="楷体" w:hAnsi="楷体"/>
              </w:rPr>
            </w:pPr>
            <w:r>
              <w:rPr>
                <w:rFonts w:ascii="楷体" w:hAnsi="楷体"/>
              </w:rPr>
              <w:t>%</w:t>
            </w:r>
          </w:p>
        </w:tc>
        <w:tc>
          <w:tcPr>
            <w:tcW w:w="1559" w:type="dxa"/>
          </w:tcPr>
          <w:p>
            <w:pPr>
              <w:widowControl/>
              <w:autoSpaceDE w:val="0"/>
              <w:autoSpaceDN w:val="0"/>
              <w:spacing w:line="380" w:lineRule="atLeast"/>
              <w:ind w:firstLine="13"/>
              <w:jc w:val="right"/>
              <w:textAlignment w:val="bottom"/>
              <w:rPr>
                <w:rFonts w:ascii="楷体" w:hAnsi="楷体"/>
              </w:rPr>
            </w:pPr>
          </w:p>
        </w:tc>
        <w:tc>
          <w:tcPr>
            <w:tcW w:w="1559" w:type="dxa"/>
          </w:tcPr>
          <w:p>
            <w:pPr>
              <w:widowControl/>
              <w:autoSpaceDE w:val="0"/>
              <w:autoSpaceDN w:val="0"/>
              <w:spacing w:line="380" w:lineRule="atLeast"/>
              <w:ind w:firstLine="13"/>
              <w:jc w:val="right"/>
              <w:textAlignment w:val="bottom"/>
              <w:rPr>
                <w:rFonts w:ascii="楷体" w:hAnsi="楷体"/>
              </w:rPr>
            </w:pPr>
          </w:p>
        </w:tc>
        <w:tc>
          <w:tcPr>
            <w:tcW w:w="1571" w:type="dxa"/>
          </w:tcPr>
          <w:p>
            <w:pPr>
              <w:widowControl/>
              <w:autoSpaceDE w:val="0"/>
              <w:autoSpaceDN w:val="0"/>
              <w:spacing w:line="380" w:lineRule="atLeast"/>
              <w:ind w:firstLine="13"/>
              <w:jc w:val="right"/>
              <w:textAlignment w:val="bottom"/>
              <w:rPr>
                <w:rFonts w:ascii="楷体" w:hAnsi="楷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371" w:hRule="atLeast"/>
          <w:jc w:val="center"/>
        </w:trPr>
        <w:tc>
          <w:tcPr>
            <w:tcW w:w="8360" w:type="dxa"/>
            <w:gridSpan w:val="5"/>
          </w:tcPr>
          <w:p>
            <w:pPr>
              <w:tabs>
                <w:tab w:val="left" w:pos="4680"/>
              </w:tabs>
              <w:spacing w:after="156" w:afterLines="50" w:line="360" w:lineRule="auto"/>
              <w:ind w:right="210"/>
              <w:rPr>
                <w:rFonts w:ascii="楷体" w:hAnsi="楷体"/>
              </w:rPr>
            </w:pPr>
          </w:p>
          <w:p>
            <w:pPr>
              <w:tabs>
                <w:tab w:val="left" w:pos="4680"/>
              </w:tabs>
              <w:spacing w:after="156" w:afterLines="50" w:line="360" w:lineRule="auto"/>
              <w:ind w:right="210"/>
              <w:rPr>
                <w:rFonts w:ascii="楷体" w:hAnsi="楷体"/>
              </w:rPr>
            </w:pPr>
            <w:r>
              <w:rPr>
                <w:rFonts w:hint="eastAsia" w:ascii="楷体" w:hAnsi="楷体"/>
              </w:rPr>
              <w:t xml:space="preserve">  应答</w:t>
            </w:r>
            <w:r>
              <w:rPr>
                <w:rFonts w:ascii="楷体" w:hAnsi="楷体"/>
              </w:rPr>
              <w:t>人：</w:t>
            </w:r>
            <w:r>
              <w:rPr>
                <w:rFonts w:hint="eastAsia" w:ascii="楷体" w:hAnsi="楷体"/>
              </w:rPr>
              <w:t>四川大学</w:t>
            </w:r>
            <w:r>
              <w:rPr>
                <w:rFonts w:ascii="楷体" w:hAnsi="楷体"/>
              </w:rPr>
              <w:t>（公章）</w:t>
            </w:r>
          </w:p>
        </w:tc>
      </w:tr>
    </w:tbl>
    <w:p>
      <w:pPr>
        <w:spacing w:line="400" w:lineRule="exact"/>
        <w:rPr>
          <w:rFonts w:ascii="楷体" w:hAnsi="楷体"/>
          <w:b/>
          <w:kern w:val="1"/>
        </w:rPr>
      </w:pPr>
    </w:p>
    <w:p>
      <w:pPr>
        <w:widowControl/>
        <w:jc w:val="left"/>
        <w:rPr>
          <w:rFonts w:ascii="楷体" w:hAnsi="楷体"/>
          <w:b/>
          <w:kern w:val="1"/>
        </w:rPr>
      </w:pPr>
      <w:r>
        <w:rPr>
          <w:rFonts w:ascii="楷体" w:hAnsi="楷体"/>
          <w:b/>
          <w:kern w:val="1"/>
        </w:rPr>
        <w:br w:type="page"/>
      </w:r>
    </w:p>
    <w:p>
      <w:pPr>
        <w:pStyle w:val="3"/>
      </w:pPr>
      <w:r>
        <w:rPr>
          <w:rFonts w:hint="eastAsia"/>
        </w:rPr>
        <w:t>3、企业法人营业执照副本及年检记录影印件</w:t>
      </w:r>
    </w:p>
    <w:p>
      <w:pPr>
        <w:widowControl/>
        <w:jc w:val="left"/>
        <w:rPr>
          <w:rFonts w:ascii="楷体" w:hAnsi="楷体"/>
          <w:b/>
          <w:kern w:val="1"/>
        </w:rPr>
      </w:pPr>
      <w:r>
        <w:rPr>
          <w:rFonts w:ascii="楷体" w:hAnsi="楷体"/>
          <w:b/>
        </w:rPr>
        <w:br w:type="page"/>
      </w:r>
    </w:p>
    <w:p>
      <w:pPr>
        <w:pStyle w:val="3"/>
      </w:pPr>
      <w:r>
        <w:t>▲</w:t>
      </w:r>
      <w:r>
        <w:rPr>
          <w:rFonts w:hint="eastAsia"/>
        </w:rPr>
        <w:t>4、资质等级证书及年检记录影印件（如有要求）</w:t>
      </w:r>
    </w:p>
    <w:p>
      <w:pPr>
        <w:pStyle w:val="231"/>
        <w:snapToGrid w:val="0"/>
        <w:ind w:firstLine="420" w:firstLineChars="200"/>
        <w:rPr>
          <w:rFonts w:ascii="楷体" w:hAnsi="楷体"/>
          <w:lang w:eastAsia="zh-CN"/>
        </w:rPr>
      </w:pPr>
      <w:r>
        <w:rPr>
          <w:rFonts w:hint="eastAsia" w:ascii="楷体" w:hAnsi="楷体"/>
          <w:lang w:eastAsia="zh-CN"/>
        </w:rPr>
        <w:t>年检记录页也需提供，法律规定无年检记录或无有效年检记录的资质证书无效，则其应答将被否决。</w:t>
      </w:r>
    </w:p>
    <w:p>
      <w:pPr>
        <w:spacing w:line="360" w:lineRule="auto"/>
        <w:ind w:firstLine="210" w:firstLineChars="100"/>
      </w:pPr>
      <w:r>
        <w:rPr>
          <w:rFonts w:hint="eastAsia"/>
        </w:rPr>
        <w:t>四川大学为事业单位，提供事业单位在线（</w:t>
      </w:r>
      <w:r>
        <w:t>www.gjsy.gov.cn/</w:t>
      </w:r>
      <w:r>
        <w:rPr>
          <w:rFonts w:hint="eastAsia"/>
        </w:rPr>
        <w:t>）年度报告查询结果截图如下：</w:t>
      </w:r>
    </w:p>
    <w:p>
      <w:pPr>
        <w:pStyle w:val="179"/>
        <w:spacing w:line="360" w:lineRule="auto"/>
        <w:ind w:left="420" w:firstLine="0" w:firstLineChars="0"/>
      </w:pPr>
      <w:r>
        <w:drawing>
          <wp:inline distT="0" distB="0" distL="0" distR="0">
            <wp:extent cx="5274310" cy="49898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4989830"/>
                    </a:xfrm>
                    <a:prstGeom prst="rect">
                      <a:avLst/>
                    </a:prstGeom>
                  </pic:spPr>
                </pic:pic>
              </a:graphicData>
            </a:graphic>
          </wp:inline>
        </w:drawing>
      </w:r>
      <w:r>
        <w:drawing>
          <wp:inline distT="0" distB="0" distL="0" distR="0">
            <wp:extent cx="5236845" cy="4924425"/>
            <wp:effectExtent l="0" t="0" r="190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
                    <a:stretch>
                      <a:fillRect/>
                    </a:stretch>
                  </pic:blipFill>
                  <pic:spPr>
                    <a:xfrm>
                      <a:off x="0" y="0"/>
                      <a:ext cx="5252239" cy="4938892"/>
                    </a:xfrm>
                    <a:prstGeom prst="rect">
                      <a:avLst/>
                    </a:prstGeom>
                  </pic:spPr>
                </pic:pic>
              </a:graphicData>
            </a:graphic>
          </wp:inline>
        </w:drawing>
      </w:r>
      <w:r>
        <w:t xml:space="preserve"> </w:t>
      </w:r>
      <w:r>
        <w:drawing>
          <wp:inline distT="0" distB="0" distL="0" distR="0">
            <wp:extent cx="5214620" cy="5734050"/>
            <wp:effectExtent l="0" t="0" r="508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0"/>
                    <a:stretch>
                      <a:fillRect/>
                    </a:stretch>
                  </pic:blipFill>
                  <pic:spPr>
                    <a:xfrm>
                      <a:off x="0" y="0"/>
                      <a:ext cx="5225262" cy="5745186"/>
                    </a:xfrm>
                    <a:prstGeom prst="rect">
                      <a:avLst/>
                    </a:prstGeom>
                  </pic:spPr>
                </pic:pic>
              </a:graphicData>
            </a:graphic>
          </wp:inline>
        </w:drawing>
      </w:r>
      <w:r>
        <w:t xml:space="preserve"> </w:t>
      </w:r>
      <w:r>
        <w:drawing>
          <wp:inline distT="0" distB="0" distL="0" distR="0">
            <wp:extent cx="5179060" cy="5143500"/>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1"/>
                    <a:stretch>
                      <a:fillRect/>
                    </a:stretch>
                  </pic:blipFill>
                  <pic:spPr>
                    <a:xfrm>
                      <a:off x="0" y="0"/>
                      <a:ext cx="5188537" cy="5152468"/>
                    </a:xfrm>
                    <a:prstGeom prst="rect">
                      <a:avLst/>
                    </a:prstGeom>
                  </pic:spPr>
                </pic:pic>
              </a:graphicData>
            </a:graphic>
          </wp:inline>
        </w:drawing>
      </w:r>
    </w:p>
    <w:p>
      <w:pPr>
        <w:pStyle w:val="231"/>
        <w:snapToGrid w:val="0"/>
        <w:ind w:firstLine="420" w:firstLineChars="200"/>
        <w:rPr>
          <w:rFonts w:ascii="楷体" w:hAnsi="楷体"/>
          <w:lang w:eastAsia="zh-CN"/>
        </w:rPr>
      </w:pPr>
      <w:r>
        <w:rPr>
          <w:rFonts w:hint="eastAsia" w:ascii="楷体" w:hAnsi="楷体"/>
          <w:lang w:eastAsia="zh-CN"/>
        </w:rPr>
        <w:t xml:space="preserve"> </w:t>
      </w:r>
      <w:r>
        <w:rPr>
          <w:rFonts w:ascii="楷体" w:hAnsi="楷体"/>
          <w:lang w:eastAsia="zh-CN"/>
        </w:rPr>
        <w:t xml:space="preserve">                                                </w:t>
      </w:r>
    </w:p>
    <w:p>
      <w:pPr>
        <w:widowControl/>
        <w:jc w:val="left"/>
        <w:rPr>
          <w:rFonts w:ascii="楷体" w:hAnsi="楷体"/>
          <w:b/>
        </w:rPr>
      </w:pPr>
      <w:r>
        <w:rPr>
          <w:rFonts w:ascii="楷体" w:hAnsi="楷体"/>
          <w:b/>
        </w:rPr>
        <w:br w:type="page"/>
      </w:r>
    </w:p>
    <w:p>
      <w:pPr>
        <w:pStyle w:val="3"/>
      </w:pPr>
      <w:r>
        <w:rPr>
          <w:rFonts w:hint="eastAsia"/>
        </w:rPr>
        <w:t>5、企业近三年经营情况（如有要求）</w:t>
      </w:r>
    </w:p>
    <w:p>
      <w:pPr>
        <w:spacing w:line="400" w:lineRule="exact"/>
        <w:rPr>
          <w:rFonts w:ascii="楷体" w:hAnsi="楷体"/>
          <w:kern w:val="1"/>
        </w:rPr>
      </w:pPr>
      <w:r>
        <w:rPr>
          <w:rFonts w:hint="eastAsia" w:ascii="楷体" w:hAnsi="楷体"/>
          <w:b/>
          <w:kern w:val="1"/>
        </w:rPr>
        <w:t xml:space="preserve">  </w:t>
      </w:r>
      <w:r>
        <w:rPr>
          <w:rFonts w:hint="eastAsia" w:ascii="楷体" w:hAnsi="楷体"/>
          <w:kern w:val="1"/>
        </w:rPr>
        <w:t xml:space="preserve"> 提供近三年（2017年-2019年）经第三方审计的财务报告。(若2019年财务报告未出，提供2016年-2018年经第三方审计财务报告，同时附上不能提供2019年财务报告申明并加盖公司公章；新成立未满三年企业提供自成立之日起第二年及后续年度经第三方审计财务报告）。</w:t>
      </w:r>
    </w:p>
    <w:p>
      <w:pPr>
        <w:tabs>
          <w:tab w:val="left" w:pos="1680"/>
        </w:tabs>
        <w:spacing w:line="360" w:lineRule="auto"/>
        <w:ind w:firstLine="420" w:firstLineChars="200"/>
        <w:jc w:val="center"/>
        <w:rPr>
          <w:rFonts w:ascii="宋体" w:hAnsi="宋体" w:cs="宋体"/>
        </w:rPr>
      </w:pPr>
      <w:r>
        <w:rPr>
          <w:rFonts w:hint="eastAsia" w:ascii="宋体" w:hAnsi="宋体" w:cs="宋体"/>
        </w:rPr>
        <w:t>申明</w:t>
      </w:r>
    </w:p>
    <w:p>
      <w:pPr>
        <w:tabs>
          <w:tab w:val="left" w:pos="1680"/>
        </w:tabs>
        <w:spacing w:line="360" w:lineRule="auto"/>
        <w:ind w:firstLine="420" w:firstLineChars="200"/>
        <w:rPr>
          <w:rFonts w:ascii="宋体" w:hAnsi="宋体" w:cs="宋体"/>
        </w:rPr>
      </w:pPr>
      <w:r>
        <w:rPr>
          <w:rFonts w:hint="eastAsia" w:ascii="宋体" w:hAnsi="宋体" w:cs="宋体"/>
        </w:rPr>
        <w:t>四川大学为事业单位，教育部直属高等院校，审计报告需经教育部审核通过，2</w:t>
      </w:r>
      <w:r>
        <w:rPr>
          <w:rFonts w:ascii="宋体" w:hAnsi="宋体" w:cs="宋体"/>
        </w:rPr>
        <w:t>019</w:t>
      </w:r>
      <w:r>
        <w:rPr>
          <w:rFonts w:hint="eastAsia" w:ascii="宋体" w:hAnsi="宋体" w:cs="宋体"/>
        </w:rPr>
        <w:t>年审计报告正在办理中，故提供</w:t>
      </w:r>
      <w:r>
        <w:rPr>
          <w:rFonts w:ascii="宋体" w:hAnsi="宋体" w:cs="宋体"/>
        </w:rPr>
        <w:t>2016年-2018年</w:t>
      </w:r>
      <w:r>
        <w:rPr>
          <w:rFonts w:hint="eastAsia" w:ascii="宋体" w:hAnsi="宋体" w:cs="宋体"/>
        </w:rPr>
        <w:t>资产负债表。</w:t>
      </w:r>
    </w:p>
    <w:p>
      <w:pPr>
        <w:tabs>
          <w:tab w:val="left" w:pos="1680"/>
        </w:tabs>
        <w:spacing w:line="360" w:lineRule="auto"/>
        <w:ind w:firstLine="420" w:firstLineChars="200"/>
        <w:jc w:val="right"/>
        <w:rPr>
          <w:rFonts w:ascii="宋体" w:hAnsi="宋体" w:cs="宋体"/>
        </w:rPr>
      </w:pPr>
      <w:r>
        <w:rPr>
          <w:rFonts w:hint="eastAsia" w:ascii="宋体" w:hAnsi="宋体" w:cs="宋体"/>
        </w:rPr>
        <w:t>四川大学（盖章）</w:t>
      </w:r>
    </w:p>
    <w:p>
      <w:pPr>
        <w:tabs>
          <w:tab w:val="left" w:pos="1680"/>
        </w:tabs>
        <w:spacing w:line="360" w:lineRule="auto"/>
        <w:ind w:firstLine="420" w:firstLineChars="200"/>
        <w:jc w:val="right"/>
        <w:rPr>
          <w:rFonts w:ascii="宋体" w:hAnsi="宋体" w:cs="宋体"/>
        </w:rPr>
      </w:pPr>
      <w:r>
        <w:rPr>
          <w:rFonts w:hint="eastAsia" w:ascii="宋体" w:hAnsi="宋体" w:cs="宋体"/>
        </w:rPr>
        <w:t>2</w:t>
      </w:r>
      <w:r>
        <w:rPr>
          <w:rFonts w:ascii="宋体" w:hAnsi="宋体" w:cs="宋体"/>
        </w:rPr>
        <w:t>020</w:t>
      </w:r>
      <w:r>
        <w:rPr>
          <w:rFonts w:hint="eastAsia" w:ascii="宋体" w:hAnsi="宋体" w:cs="宋体"/>
        </w:rPr>
        <w:t>年5月1</w:t>
      </w:r>
      <w:r>
        <w:rPr>
          <w:rFonts w:ascii="宋体" w:hAnsi="宋体" w:cs="宋体"/>
        </w:rPr>
        <w:t>3</w:t>
      </w:r>
      <w:r>
        <w:rPr>
          <w:rFonts w:hint="eastAsia" w:ascii="宋体" w:hAnsi="宋体" w:cs="宋体"/>
        </w:rPr>
        <w:t>日</w:t>
      </w:r>
    </w:p>
    <w:p>
      <w:pPr>
        <w:tabs>
          <w:tab w:val="left" w:pos="1680"/>
        </w:tabs>
        <w:spacing w:line="360" w:lineRule="auto"/>
        <w:rPr>
          <w:rFonts w:ascii="宋体" w:hAnsi="宋体" w:cs="宋体"/>
        </w:rPr>
      </w:pPr>
      <w:r>
        <w:rPr>
          <w:rFonts w:hint="eastAsia" w:ascii="宋体" w:hAnsi="宋体" w:cs="宋体"/>
        </w:rPr>
        <w:drawing>
          <wp:inline distT="0" distB="0" distL="0" distR="0">
            <wp:extent cx="5272405" cy="7251065"/>
            <wp:effectExtent l="0" t="0" r="4445" b="698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744" cy="7248777"/>
                    </a:xfrm>
                    <a:prstGeom prst="rect">
                      <a:avLst/>
                    </a:prstGeom>
                  </pic:spPr>
                </pic:pic>
              </a:graphicData>
            </a:graphic>
          </wp:inline>
        </w:drawing>
      </w:r>
    </w:p>
    <w:p>
      <w:pPr>
        <w:spacing w:line="400" w:lineRule="exact"/>
        <w:rPr>
          <w:rFonts w:ascii="楷体" w:hAnsi="楷体"/>
          <w:kern w:val="1"/>
        </w:rPr>
      </w:pPr>
    </w:p>
    <w:p>
      <w:pPr>
        <w:pStyle w:val="3"/>
        <w:pageBreakBefore/>
      </w:pPr>
      <w:r>
        <w:rPr>
          <w:rFonts w:hint="eastAsia"/>
        </w:rPr>
        <w:t>6、相似项目业绩和实施经验（如有要求）</w:t>
      </w:r>
    </w:p>
    <w:p>
      <w:pPr>
        <w:spacing w:line="400" w:lineRule="exact"/>
        <w:ind w:firstLine="420" w:firstLineChars="200"/>
        <w:rPr>
          <w:rFonts w:ascii="楷体" w:hAnsi="楷体"/>
          <w:kern w:val="1"/>
        </w:rPr>
      </w:pPr>
      <w:r>
        <w:rPr>
          <w:rFonts w:hint="eastAsia" w:ascii="楷体" w:hAnsi="楷体"/>
        </w:rPr>
        <w:t>应答截止时间近三年</w:t>
      </w:r>
      <w:r>
        <w:rPr>
          <w:rFonts w:hint="eastAsia" w:ascii="楷体" w:hAnsi="楷体" w:cs="楷体"/>
          <w:color w:val="000000"/>
          <w:szCs w:val="21"/>
        </w:rPr>
        <w:t>（2017年-2019年）</w:t>
      </w:r>
      <w:r>
        <w:rPr>
          <w:rFonts w:hint="eastAsia" w:ascii="楷体" w:hAnsi="楷体"/>
        </w:rPr>
        <w:t>内具有</w:t>
      </w:r>
      <w:r>
        <w:rPr>
          <w:rFonts w:ascii="楷体" w:hAnsi="楷体"/>
        </w:rPr>
        <w:t>1</w:t>
      </w:r>
      <w:r>
        <w:rPr>
          <w:rFonts w:hint="eastAsia" w:ascii="楷体" w:hAnsi="楷体"/>
        </w:rPr>
        <w:t>个及以上类似项目业绩（应附合同协议书影印件）。</w:t>
      </w:r>
      <w:r>
        <w:rPr>
          <w:rFonts w:hint="eastAsia" w:ascii="楷体" w:hAnsi="楷体"/>
          <w:color w:val="000000"/>
          <w:kern w:val="1"/>
        </w:rPr>
        <w:t>业绩统计（格式见附表1）</w:t>
      </w:r>
      <w:r>
        <w:rPr>
          <w:rFonts w:hint="eastAsia" w:ascii="楷体" w:hAnsi="楷体"/>
          <w:kern w:val="1"/>
        </w:rPr>
        <w:t>，属于采购人的项目，仅需提供统计表，其他项目均出具相关合同原件的影印件并提供用户信息备查，必要时要求应答人提供原件。应答人正在（即将）实施类似项目简况（格式见附表2）。</w:t>
      </w:r>
    </w:p>
    <w:p>
      <w:pPr>
        <w:spacing w:line="400" w:lineRule="exact"/>
        <w:ind w:firstLine="420" w:firstLineChars="200"/>
        <w:rPr>
          <w:rFonts w:ascii="楷体" w:hAnsi="楷体"/>
          <w:kern w:val="1"/>
        </w:rPr>
      </w:pPr>
    </w:p>
    <w:p>
      <w:pPr>
        <w:spacing w:line="400" w:lineRule="exact"/>
        <w:rPr>
          <w:rFonts w:ascii="楷体" w:hAnsi="楷体"/>
          <w:kern w:val="1"/>
        </w:rPr>
      </w:pPr>
      <w:r>
        <w:rPr>
          <w:rFonts w:hint="eastAsia" w:ascii="楷体" w:hAnsi="楷体"/>
          <w:kern w:val="1"/>
        </w:rPr>
        <w:t>附表1</w:t>
      </w:r>
    </w:p>
    <w:tbl>
      <w:tblPr>
        <w:tblStyle w:val="49"/>
        <w:tblW w:w="8528" w:type="dxa"/>
        <w:tblInd w:w="0" w:type="dxa"/>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2977"/>
        <w:gridCol w:w="709"/>
        <w:gridCol w:w="1701"/>
        <w:gridCol w:w="1105"/>
        <w:gridCol w:w="1332"/>
      </w:tblGrid>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PrEx>
        <w:trPr>
          <w:trHeight w:val="404" w:hRule="atLeast"/>
        </w:trPr>
        <w:tc>
          <w:tcPr>
            <w:tcW w:w="704" w:type="dxa"/>
            <w:vAlign w:val="center"/>
          </w:tcPr>
          <w:p>
            <w:pPr>
              <w:pStyle w:val="243"/>
              <w:snapToGrid w:val="0"/>
              <w:jc w:val="center"/>
              <w:rPr>
                <w:rFonts w:ascii="楷体" w:hAnsi="楷体" w:eastAsia="楷体"/>
                <w:b/>
              </w:rPr>
            </w:pPr>
            <w:r>
              <w:rPr>
                <w:rFonts w:ascii="楷体" w:hAnsi="楷体" w:eastAsia="楷体"/>
                <w:b/>
              </w:rPr>
              <w:t>序号</w:t>
            </w:r>
          </w:p>
        </w:tc>
        <w:tc>
          <w:tcPr>
            <w:tcW w:w="2977" w:type="dxa"/>
            <w:vAlign w:val="center"/>
          </w:tcPr>
          <w:p>
            <w:pPr>
              <w:pStyle w:val="243"/>
              <w:snapToGrid w:val="0"/>
              <w:jc w:val="center"/>
              <w:rPr>
                <w:rFonts w:ascii="楷体" w:hAnsi="楷体" w:eastAsia="楷体"/>
                <w:b/>
              </w:rPr>
            </w:pPr>
            <w:r>
              <w:rPr>
                <w:rFonts w:hint="eastAsia" w:ascii="楷体" w:hAnsi="楷体" w:eastAsia="楷体"/>
                <w:b/>
                <w:lang w:eastAsia="zh-CN"/>
              </w:rPr>
              <w:t>项目</w:t>
            </w:r>
            <w:r>
              <w:rPr>
                <w:rFonts w:ascii="楷体" w:hAnsi="楷体" w:eastAsia="楷体"/>
                <w:b/>
              </w:rPr>
              <w:t>名称</w:t>
            </w:r>
          </w:p>
        </w:tc>
        <w:tc>
          <w:tcPr>
            <w:tcW w:w="709" w:type="dxa"/>
            <w:vAlign w:val="center"/>
          </w:tcPr>
          <w:p>
            <w:pPr>
              <w:pStyle w:val="243"/>
              <w:snapToGrid w:val="0"/>
              <w:jc w:val="center"/>
              <w:rPr>
                <w:rFonts w:ascii="楷体" w:hAnsi="楷体" w:eastAsia="楷体"/>
                <w:b/>
              </w:rPr>
            </w:pPr>
            <w:r>
              <w:rPr>
                <w:rFonts w:hint="eastAsia" w:ascii="楷体" w:hAnsi="楷体" w:eastAsia="楷体"/>
                <w:b/>
                <w:lang w:eastAsia="zh-CN"/>
              </w:rPr>
              <w:t>项目</w:t>
            </w:r>
            <w:r>
              <w:rPr>
                <w:rFonts w:ascii="楷体" w:hAnsi="楷体" w:eastAsia="楷体"/>
                <w:b/>
              </w:rPr>
              <w:t>地点</w:t>
            </w:r>
          </w:p>
        </w:tc>
        <w:tc>
          <w:tcPr>
            <w:tcW w:w="1701" w:type="dxa"/>
            <w:vAlign w:val="center"/>
          </w:tcPr>
          <w:p>
            <w:pPr>
              <w:pStyle w:val="243"/>
              <w:snapToGrid w:val="0"/>
              <w:jc w:val="center"/>
              <w:rPr>
                <w:rFonts w:ascii="楷体" w:hAnsi="楷体" w:eastAsia="楷体"/>
                <w:b/>
              </w:rPr>
            </w:pPr>
            <w:r>
              <w:rPr>
                <w:rFonts w:ascii="楷体" w:hAnsi="楷体" w:eastAsia="楷体"/>
                <w:b/>
              </w:rPr>
              <w:t>项目法人</w:t>
            </w:r>
          </w:p>
        </w:tc>
        <w:tc>
          <w:tcPr>
            <w:tcW w:w="1105" w:type="dxa"/>
            <w:vAlign w:val="center"/>
          </w:tcPr>
          <w:p>
            <w:pPr>
              <w:pStyle w:val="243"/>
              <w:snapToGrid w:val="0"/>
              <w:jc w:val="center"/>
              <w:rPr>
                <w:rFonts w:ascii="楷体" w:hAnsi="楷体" w:eastAsia="楷体"/>
                <w:b/>
              </w:rPr>
            </w:pPr>
            <w:r>
              <w:rPr>
                <w:rFonts w:hint="eastAsia" w:ascii="楷体" w:hAnsi="楷体" w:eastAsia="楷体"/>
                <w:b/>
                <w:lang w:eastAsia="zh-CN"/>
              </w:rPr>
              <w:t>合同价格</w:t>
            </w:r>
          </w:p>
        </w:tc>
        <w:tc>
          <w:tcPr>
            <w:tcW w:w="1332" w:type="dxa"/>
            <w:vAlign w:val="center"/>
          </w:tcPr>
          <w:p>
            <w:pPr>
              <w:pStyle w:val="243"/>
              <w:snapToGrid w:val="0"/>
              <w:jc w:val="center"/>
              <w:rPr>
                <w:rFonts w:ascii="楷体" w:hAnsi="楷体" w:eastAsia="楷体"/>
                <w:b/>
              </w:rPr>
            </w:pPr>
            <w:commentRangeStart w:id="4"/>
            <w:r>
              <w:rPr>
                <w:rFonts w:ascii="楷体" w:hAnsi="楷体" w:eastAsia="楷体"/>
                <w:b/>
              </w:rPr>
              <w:t>概要说明</w:t>
            </w:r>
            <w:commentRangeEnd w:id="4"/>
            <w:r>
              <w:rPr>
                <w:rStyle w:val="56"/>
                <w:rFonts w:asciiTheme="minorHAnsi" w:hAnsiTheme="minorHAnsi" w:cstheme="minorBidi"/>
                <w:kern w:val="2"/>
                <w:szCs w:val="22"/>
                <w:lang w:eastAsia="zh-CN"/>
              </w:rPr>
              <w:commentReference w:id="4"/>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704" w:type="dxa"/>
            <w:vAlign w:val="center"/>
          </w:tcPr>
          <w:p>
            <w:pPr>
              <w:pStyle w:val="243"/>
              <w:snapToGrid w:val="0"/>
              <w:jc w:val="center"/>
              <w:rPr>
                <w:rFonts w:ascii="楷体" w:hAnsi="楷体" w:eastAsia="楷体"/>
                <w:szCs w:val="21"/>
              </w:rPr>
            </w:pPr>
            <w:r>
              <w:rPr>
                <w:rFonts w:hint="cs" w:ascii="楷体" w:hAnsi="楷体" w:eastAsia="楷体"/>
                <w:szCs w:val="21"/>
              </w:rPr>
              <w:t>1</w:t>
            </w:r>
          </w:p>
        </w:tc>
        <w:tc>
          <w:tcPr>
            <w:tcW w:w="2977" w:type="dxa"/>
            <w:vAlign w:val="center"/>
          </w:tcPr>
          <w:p>
            <w:pPr>
              <w:pStyle w:val="243"/>
              <w:snapToGrid w:val="0"/>
              <w:jc w:val="left"/>
              <w:rPr>
                <w:rFonts w:ascii="楷体" w:hAnsi="楷体" w:eastAsia="楷体"/>
                <w:szCs w:val="21"/>
              </w:rPr>
            </w:pPr>
            <w:r>
              <w:rPr>
                <w:rFonts w:hint="eastAsia" w:ascii="楷体" w:hAnsi="楷体" w:eastAsia="楷体"/>
                <w:szCs w:val="21"/>
              </w:rPr>
              <w:t>新能源发电快速响应及柔性调度机制探索与实践</w:t>
            </w:r>
          </w:p>
        </w:tc>
        <w:tc>
          <w:tcPr>
            <w:tcW w:w="709" w:type="dxa"/>
            <w:vAlign w:val="center"/>
          </w:tcPr>
          <w:p>
            <w:pPr>
              <w:pStyle w:val="243"/>
              <w:snapToGrid w:val="0"/>
              <w:jc w:val="left"/>
              <w:rPr>
                <w:rFonts w:ascii="楷体" w:hAnsi="楷体" w:eastAsia="楷体"/>
                <w:szCs w:val="21"/>
              </w:rPr>
            </w:pPr>
            <w:r>
              <w:rPr>
                <w:rFonts w:hint="eastAsia" w:ascii="楷体" w:hAnsi="楷体" w:eastAsia="楷体"/>
                <w:szCs w:val="21"/>
              </w:rPr>
              <w:t>陕西</w:t>
            </w:r>
          </w:p>
        </w:tc>
        <w:tc>
          <w:tcPr>
            <w:tcW w:w="1701" w:type="dxa"/>
            <w:vAlign w:val="center"/>
          </w:tcPr>
          <w:p>
            <w:pPr>
              <w:pStyle w:val="243"/>
              <w:snapToGrid w:val="0"/>
              <w:jc w:val="left"/>
              <w:rPr>
                <w:rFonts w:ascii="楷体" w:hAnsi="楷体" w:eastAsia="楷体"/>
                <w:szCs w:val="21"/>
              </w:rPr>
            </w:pPr>
            <w:r>
              <w:rPr>
                <w:rFonts w:hint="eastAsia" w:ascii="楷体" w:hAnsi="楷体" w:eastAsia="楷体"/>
                <w:szCs w:val="21"/>
              </w:rPr>
              <w:t>国家电网公司西北分部</w:t>
            </w:r>
          </w:p>
        </w:tc>
        <w:tc>
          <w:tcPr>
            <w:tcW w:w="1105" w:type="dxa"/>
            <w:vAlign w:val="center"/>
          </w:tcPr>
          <w:p>
            <w:pPr>
              <w:pStyle w:val="243"/>
              <w:snapToGrid w:val="0"/>
              <w:jc w:val="center"/>
              <w:rPr>
                <w:rFonts w:ascii="楷体" w:hAnsi="楷体" w:eastAsia="楷体"/>
                <w:szCs w:val="21"/>
              </w:rPr>
            </w:pPr>
            <w:r>
              <w:rPr>
                <w:rFonts w:ascii="楷体" w:hAnsi="楷体" w:eastAsia="楷体"/>
                <w:szCs w:val="21"/>
              </w:rPr>
              <w:t>48.2万</w:t>
            </w:r>
          </w:p>
        </w:tc>
        <w:tc>
          <w:tcPr>
            <w:tcW w:w="1332" w:type="dxa"/>
            <w:vAlign w:val="center"/>
          </w:tcPr>
          <w:p>
            <w:pPr>
              <w:pStyle w:val="243"/>
              <w:snapToGrid w:val="0"/>
              <w:jc w:val="left"/>
              <w:rPr>
                <w:rFonts w:ascii="楷体" w:hAnsi="楷体" w:eastAsia="楷体"/>
                <w:sz w:val="24"/>
              </w:rPr>
            </w:pP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4" w:type="dxa"/>
            <w:vAlign w:val="center"/>
          </w:tcPr>
          <w:p>
            <w:pPr>
              <w:pStyle w:val="243"/>
              <w:snapToGrid w:val="0"/>
              <w:jc w:val="center"/>
              <w:rPr>
                <w:rFonts w:ascii="楷体" w:hAnsi="楷体" w:eastAsia="楷体"/>
                <w:szCs w:val="21"/>
              </w:rPr>
            </w:pPr>
            <w:r>
              <w:rPr>
                <w:rFonts w:hint="cs" w:ascii="楷体" w:hAnsi="楷体" w:eastAsia="楷体"/>
                <w:szCs w:val="21"/>
              </w:rPr>
              <w:t>2</w:t>
            </w:r>
          </w:p>
        </w:tc>
        <w:tc>
          <w:tcPr>
            <w:tcW w:w="2977" w:type="dxa"/>
            <w:vAlign w:val="center"/>
          </w:tcPr>
          <w:p>
            <w:pPr>
              <w:pStyle w:val="243"/>
              <w:snapToGrid w:val="0"/>
              <w:jc w:val="left"/>
              <w:rPr>
                <w:rFonts w:ascii="楷体" w:hAnsi="楷体" w:eastAsia="楷体"/>
                <w:szCs w:val="21"/>
              </w:rPr>
            </w:pPr>
            <w:r>
              <w:rPr>
                <w:rFonts w:hint="eastAsia" w:ascii="楷体" w:hAnsi="楷体" w:eastAsia="楷体"/>
                <w:szCs w:val="21"/>
              </w:rPr>
              <w:t>面向分布式能源高渗透与大规模电动汽车接入的高压配电网弹性运行理论与关键技术研究</w:t>
            </w:r>
          </w:p>
        </w:tc>
        <w:tc>
          <w:tcPr>
            <w:tcW w:w="709" w:type="dxa"/>
            <w:vAlign w:val="center"/>
          </w:tcPr>
          <w:p>
            <w:pPr>
              <w:pStyle w:val="243"/>
              <w:snapToGrid w:val="0"/>
              <w:jc w:val="left"/>
              <w:rPr>
                <w:rFonts w:ascii="楷体" w:hAnsi="楷体" w:eastAsia="楷体"/>
                <w:szCs w:val="21"/>
              </w:rPr>
            </w:pPr>
            <w:r>
              <w:rPr>
                <w:rFonts w:hint="eastAsia" w:ascii="楷体" w:hAnsi="楷体" w:eastAsia="楷体"/>
                <w:szCs w:val="21"/>
              </w:rPr>
              <w:t>杭州</w:t>
            </w:r>
          </w:p>
        </w:tc>
        <w:tc>
          <w:tcPr>
            <w:tcW w:w="1701" w:type="dxa"/>
            <w:vAlign w:val="center"/>
          </w:tcPr>
          <w:p>
            <w:pPr>
              <w:pStyle w:val="243"/>
              <w:snapToGrid w:val="0"/>
              <w:jc w:val="left"/>
              <w:rPr>
                <w:rFonts w:ascii="楷体" w:hAnsi="楷体" w:eastAsia="楷体"/>
                <w:szCs w:val="21"/>
              </w:rPr>
            </w:pPr>
            <w:r>
              <w:rPr>
                <w:rFonts w:hint="eastAsia" w:ascii="楷体" w:hAnsi="楷体" w:eastAsia="楷体"/>
                <w:szCs w:val="21"/>
              </w:rPr>
              <w:t>国网浙江省电力公司</w:t>
            </w:r>
          </w:p>
        </w:tc>
        <w:tc>
          <w:tcPr>
            <w:tcW w:w="1105" w:type="dxa"/>
            <w:vAlign w:val="center"/>
          </w:tcPr>
          <w:p>
            <w:pPr>
              <w:pStyle w:val="243"/>
              <w:snapToGrid w:val="0"/>
              <w:jc w:val="center"/>
              <w:rPr>
                <w:rFonts w:ascii="楷体" w:hAnsi="楷体" w:eastAsia="楷体"/>
                <w:szCs w:val="21"/>
              </w:rPr>
            </w:pPr>
            <w:r>
              <w:rPr>
                <w:rFonts w:ascii="楷体" w:hAnsi="楷体" w:eastAsia="楷体"/>
                <w:szCs w:val="21"/>
              </w:rPr>
              <w:t>132万元</w:t>
            </w:r>
          </w:p>
        </w:tc>
        <w:tc>
          <w:tcPr>
            <w:tcW w:w="1332" w:type="dxa"/>
            <w:vAlign w:val="center"/>
          </w:tcPr>
          <w:p>
            <w:pPr>
              <w:pStyle w:val="243"/>
              <w:snapToGrid w:val="0"/>
              <w:jc w:val="left"/>
              <w:rPr>
                <w:rFonts w:ascii="楷体" w:hAnsi="楷体" w:eastAsia="楷体"/>
                <w:sz w:val="24"/>
              </w:rPr>
            </w:pP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4" w:type="dxa"/>
            <w:vAlign w:val="center"/>
          </w:tcPr>
          <w:p>
            <w:pPr>
              <w:pStyle w:val="243"/>
              <w:snapToGrid w:val="0"/>
              <w:jc w:val="center"/>
              <w:rPr>
                <w:rFonts w:ascii="楷体" w:hAnsi="楷体" w:eastAsia="楷体"/>
                <w:szCs w:val="21"/>
              </w:rPr>
            </w:pPr>
            <w:r>
              <w:rPr>
                <w:rFonts w:hint="cs" w:ascii="楷体" w:hAnsi="楷体" w:eastAsia="楷体"/>
                <w:szCs w:val="21"/>
              </w:rPr>
              <w:t>3</w:t>
            </w:r>
          </w:p>
        </w:tc>
        <w:tc>
          <w:tcPr>
            <w:tcW w:w="2977" w:type="dxa"/>
            <w:vAlign w:val="center"/>
          </w:tcPr>
          <w:p>
            <w:pPr>
              <w:pStyle w:val="243"/>
              <w:snapToGrid w:val="0"/>
              <w:jc w:val="left"/>
              <w:rPr>
                <w:rFonts w:ascii="楷体" w:hAnsi="楷体" w:eastAsia="楷体"/>
                <w:szCs w:val="21"/>
              </w:rPr>
            </w:pPr>
            <w:r>
              <w:rPr>
                <w:rFonts w:hint="eastAsia" w:ascii="楷体" w:hAnsi="楷体" w:eastAsia="楷体"/>
                <w:szCs w:val="21"/>
              </w:rPr>
              <w:t>计及电力市场交易信号导向的电网规划方法研究</w:t>
            </w:r>
          </w:p>
        </w:tc>
        <w:tc>
          <w:tcPr>
            <w:tcW w:w="709" w:type="dxa"/>
            <w:vAlign w:val="center"/>
          </w:tcPr>
          <w:p>
            <w:pPr>
              <w:pStyle w:val="243"/>
              <w:snapToGrid w:val="0"/>
              <w:jc w:val="left"/>
              <w:rPr>
                <w:rFonts w:ascii="楷体" w:hAnsi="楷体" w:eastAsia="楷体"/>
                <w:szCs w:val="21"/>
              </w:rPr>
            </w:pPr>
            <w:r>
              <w:rPr>
                <w:rFonts w:hint="eastAsia" w:ascii="楷体" w:hAnsi="楷体" w:eastAsia="楷体"/>
                <w:szCs w:val="21"/>
              </w:rPr>
              <w:t>成都</w:t>
            </w:r>
          </w:p>
        </w:tc>
        <w:tc>
          <w:tcPr>
            <w:tcW w:w="1701" w:type="dxa"/>
            <w:vAlign w:val="center"/>
          </w:tcPr>
          <w:p>
            <w:pPr>
              <w:pStyle w:val="243"/>
              <w:snapToGrid w:val="0"/>
              <w:jc w:val="left"/>
              <w:rPr>
                <w:rFonts w:ascii="楷体" w:hAnsi="楷体" w:eastAsia="楷体"/>
                <w:szCs w:val="21"/>
              </w:rPr>
            </w:pPr>
            <w:r>
              <w:rPr>
                <w:rFonts w:ascii="楷体" w:hAnsi="楷体" w:eastAsia="楷体"/>
                <w:szCs w:val="21"/>
              </w:rPr>
              <w:t>国网四川省电力公司经济技术研究院</w:t>
            </w:r>
          </w:p>
        </w:tc>
        <w:tc>
          <w:tcPr>
            <w:tcW w:w="1105" w:type="dxa"/>
            <w:vAlign w:val="center"/>
          </w:tcPr>
          <w:p>
            <w:pPr>
              <w:pStyle w:val="243"/>
              <w:snapToGrid w:val="0"/>
              <w:jc w:val="center"/>
              <w:rPr>
                <w:rFonts w:ascii="楷体" w:hAnsi="楷体" w:eastAsia="楷体"/>
                <w:szCs w:val="21"/>
              </w:rPr>
            </w:pPr>
            <w:r>
              <w:rPr>
                <w:rFonts w:ascii="楷体" w:hAnsi="楷体" w:eastAsia="楷体"/>
                <w:szCs w:val="21"/>
              </w:rPr>
              <w:t>24万</w:t>
            </w:r>
          </w:p>
        </w:tc>
        <w:tc>
          <w:tcPr>
            <w:tcW w:w="1332" w:type="dxa"/>
            <w:vAlign w:val="center"/>
          </w:tcPr>
          <w:p>
            <w:pPr>
              <w:pStyle w:val="243"/>
              <w:snapToGrid w:val="0"/>
              <w:jc w:val="left"/>
              <w:rPr>
                <w:rFonts w:ascii="楷体" w:hAnsi="楷体" w:eastAsia="楷体"/>
                <w:sz w:val="24"/>
              </w:rPr>
            </w:pPr>
          </w:p>
        </w:tc>
      </w:tr>
    </w:tbl>
    <w:p>
      <w:pPr>
        <w:spacing w:line="400" w:lineRule="exact"/>
        <w:rPr>
          <w:rFonts w:ascii="楷体" w:hAnsi="楷体"/>
          <w:kern w:val="1"/>
        </w:rPr>
      </w:pPr>
      <w:r>
        <w:rPr>
          <w:rFonts w:hint="eastAsia" w:ascii="楷体" w:hAnsi="楷体"/>
          <w:kern w:val="1"/>
        </w:rPr>
        <w:t xml:space="preserve">  </w:t>
      </w:r>
    </w:p>
    <w:p>
      <w:pPr>
        <w:spacing w:line="400" w:lineRule="exact"/>
        <w:rPr>
          <w:rFonts w:ascii="楷体" w:hAnsi="楷体"/>
          <w:kern w:val="1"/>
        </w:rPr>
      </w:pPr>
      <w:commentRangeStart w:id="5"/>
      <w:r>
        <w:rPr>
          <w:rFonts w:hint="eastAsia" w:ascii="楷体" w:hAnsi="楷体"/>
          <w:kern w:val="1"/>
        </w:rPr>
        <w:t>附表2</w:t>
      </w:r>
      <w:commentRangeEnd w:id="5"/>
      <w:r>
        <w:rPr>
          <w:rStyle w:val="56"/>
          <w:rFonts w:eastAsia="宋体" w:asciiTheme="minorHAnsi" w:hAnsiTheme="minorHAnsi" w:cstheme="minorBidi"/>
          <w:szCs w:val="22"/>
        </w:rPr>
        <w:commentReference w:id="5"/>
      </w:r>
    </w:p>
    <w:tbl>
      <w:tblPr>
        <w:tblStyle w:val="49"/>
        <w:tblW w:w="8538" w:type="dxa"/>
        <w:tblInd w:w="0" w:type="dxa"/>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1"/>
        <w:gridCol w:w="1879"/>
        <w:gridCol w:w="709"/>
        <w:gridCol w:w="1275"/>
        <w:gridCol w:w="709"/>
        <w:gridCol w:w="709"/>
        <w:gridCol w:w="2476"/>
      </w:tblGrid>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dxa"/>
            <w:vAlign w:val="center"/>
          </w:tcPr>
          <w:p>
            <w:pPr>
              <w:pStyle w:val="243"/>
              <w:snapToGrid w:val="0"/>
              <w:jc w:val="center"/>
              <w:rPr>
                <w:rFonts w:ascii="楷体" w:hAnsi="楷体" w:eastAsia="楷体"/>
                <w:b/>
              </w:rPr>
            </w:pPr>
            <w:r>
              <w:rPr>
                <w:rFonts w:ascii="楷体" w:hAnsi="楷体" w:eastAsia="楷体"/>
                <w:b/>
              </w:rPr>
              <w:t>序号</w:t>
            </w:r>
          </w:p>
        </w:tc>
        <w:tc>
          <w:tcPr>
            <w:tcW w:w="1879" w:type="dxa"/>
            <w:vAlign w:val="center"/>
          </w:tcPr>
          <w:p>
            <w:pPr>
              <w:pStyle w:val="243"/>
              <w:snapToGrid w:val="0"/>
              <w:jc w:val="center"/>
              <w:rPr>
                <w:rFonts w:ascii="楷体" w:hAnsi="楷体" w:eastAsia="楷体"/>
                <w:b/>
              </w:rPr>
            </w:pPr>
            <w:r>
              <w:rPr>
                <w:rFonts w:hint="eastAsia" w:ascii="楷体" w:hAnsi="楷体" w:eastAsia="楷体"/>
                <w:b/>
                <w:lang w:eastAsia="zh-CN"/>
              </w:rPr>
              <w:t>项目</w:t>
            </w:r>
            <w:r>
              <w:rPr>
                <w:rFonts w:ascii="楷体" w:hAnsi="楷体" w:eastAsia="楷体"/>
                <w:b/>
              </w:rPr>
              <w:t>名称</w:t>
            </w:r>
          </w:p>
        </w:tc>
        <w:tc>
          <w:tcPr>
            <w:tcW w:w="709" w:type="dxa"/>
            <w:vAlign w:val="center"/>
          </w:tcPr>
          <w:p>
            <w:pPr>
              <w:pStyle w:val="243"/>
              <w:snapToGrid w:val="0"/>
              <w:jc w:val="center"/>
              <w:rPr>
                <w:rFonts w:ascii="楷体" w:hAnsi="楷体" w:eastAsia="楷体"/>
                <w:b/>
              </w:rPr>
            </w:pPr>
            <w:r>
              <w:rPr>
                <w:rFonts w:hint="eastAsia" w:ascii="楷体" w:hAnsi="楷体" w:eastAsia="楷体"/>
                <w:b/>
                <w:lang w:eastAsia="zh-CN"/>
              </w:rPr>
              <w:t>项目</w:t>
            </w:r>
            <w:r>
              <w:rPr>
                <w:rFonts w:ascii="楷体" w:hAnsi="楷体" w:eastAsia="楷体"/>
                <w:b/>
              </w:rPr>
              <w:t>地点</w:t>
            </w:r>
          </w:p>
        </w:tc>
        <w:tc>
          <w:tcPr>
            <w:tcW w:w="1275" w:type="dxa"/>
            <w:vAlign w:val="center"/>
          </w:tcPr>
          <w:p>
            <w:pPr>
              <w:pStyle w:val="243"/>
              <w:snapToGrid w:val="0"/>
              <w:jc w:val="center"/>
              <w:rPr>
                <w:rFonts w:ascii="楷体" w:hAnsi="楷体" w:eastAsia="楷体"/>
                <w:b/>
              </w:rPr>
            </w:pPr>
            <w:r>
              <w:rPr>
                <w:rFonts w:ascii="楷体" w:hAnsi="楷体" w:eastAsia="楷体"/>
                <w:b/>
              </w:rPr>
              <w:t>项目法人</w:t>
            </w:r>
          </w:p>
        </w:tc>
        <w:tc>
          <w:tcPr>
            <w:tcW w:w="709" w:type="dxa"/>
            <w:vAlign w:val="center"/>
          </w:tcPr>
          <w:p>
            <w:pPr>
              <w:pStyle w:val="243"/>
              <w:snapToGrid w:val="0"/>
              <w:jc w:val="center"/>
              <w:rPr>
                <w:rFonts w:ascii="楷体" w:hAnsi="楷体" w:eastAsia="楷体"/>
                <w:b/>
              </w:rPr>
            </w:pPr>
            <w:r>
              <w:rPr>
                <w:rFonts w:hint="eastAsia" w:ascii="楷体" w:hAnsi="楷体" w:eastAsia="楷体"/>
                <w:b/>
                <w:lang w:eastAsia="zh-CN"/>
              </w:rPr>
              <w:t>合同价格</w:t>
            </w:r>
          </w:p>
        </w:tc>
        <w:tc>
          <w:tcPr>
            <w:tcW w:w="709" w:type="dxa"/>
            <w:vAlign w:val="center"/>
          </w:tcPr>
          <w:p>
            <w:pPr>
              <w:pStyle w:val="243"/>
              <w:snapToGrid w:val="0"/>
              <w:jc w:val="center"/>
              <w:rPr>
                <w:rFonts w:ascii="楷体" w:hAnsi="楷体" w:eastAsia="楷体"/>
                <w:b/>
              </w:rPr>
            </w:pPr>
            <w:r>
              <w:rPr>
                <w:rFonts w:hint="eastAsia" w:ascii="楷体" w:hAnsi="楷体" w:eastAsia="楷体"/>
                <w:b/>
                <w:lang w:eastAsia="zh-CN"/>
              </w:rPr>
              <w:t>实施</w:t>
            </w:r>
            <w:r>
              <w:rPr>
                <w:rFonts w:ascii="楷体" w:hAnsi="楷体" w:eastAsia="楷体"/>
                <w:b/>
              </w:rPr>
              <w:t>阶段</w:t>
            </w:r>
          </w:p>
        </w:tc>
        <w:tc>
          <w:tcPr>
            <w:tcW w:w="2476" w:type="dxa"/>
            <w:vAlign w:val="center"/>
          </w:tcPr>
          <w:p>
            <w:pPr>
              <w:pStyle w:val="243"/>
              <w:snapToGrid w:val="0"/>
              <w:jc w:val="center"/>
              <w:rPr>
                <w:rFonts w:ascii="楷体" w:hAnsi="楷体" w:eastAsia="楷体"/>
                <w:b/>
                <w:lang w:eastAsia="zh-CN"/>
              </w:rPr>
            </w:pPr>
            <w:r>
              <w:rPr>
                <w:rFonts w:hint="eastAsia" w:ascii="楷体" w:hAnsi="楷体" w:eastAsia="楷体"/>
                <w:b/>
                <w:lang w:eastAsia="zh-CN"/>
              </w:rPr>
              <w:t>备注</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dxa"/>
            <w:vAlign w:val="center"/>
          </w:tcPr>
          <w:p>
            <w:pPr>
              <w:pStyle w:val="243"/>
              <w:snapToGrid w:val="0"/>
              <w:jc w:val="center"/>
              <w:rPr>
                <w:rFonts w:ascii="楷体" w:hAnsi="楷体" w:eastAsia="楷体"/>
                <w:bCs/>
              </w:rPr>
            </w:pPr>
            <w:r>
              <w:rPr>
                <w:rFonts w:hint="cs" w:ascii="楷体" w:hAnsi="楷体" w:eastAsia="楷体"/>
                <w:bCs/>
              </w:rPr>
              <w:t>1</w:t>
            </w:r>
          </w:p>
        </w:tc>
        <w:tc>
          <w:tcPr>
            <w:tcW w:w="1879" w:type="dxa"/>
            <w:vAlign w:val="center"/>
          </w:tcPr>
          <w:p>
            <w:pPr>
              <w:pStyle w:val="243"/>
              <w:snapToGrid w:val="0"/>
              <w:rPr>
                <w:rFonts w:ascii="楷体" w:hAnsi="楷体" w:eastAsia="楷体"/>
                <w:bCs/>
              </w:rPr>
            </w:pPr>
            <w:r>
              <w:rPr>
                <w:rFonts w:hint="eastAsia" w:ascii="楷体" w:hAnsi="楷体" w:eastAsia="楷体"/>
                <w:bCs/>
              </w:rPr>
              <w:t>集成弧光保护的开关柜故障监测、防控与事故追溯一体化系统</w:t>
            </w:r>
          </w:p>
        </w:tc>
        <w:tc>
          <w:tcPr>
            <w:tcW w:w="709" w:type="dxa"/>
            <w:vAlign w:val="center"/>
          </w:tcPr>
          <w:p>
            <w:pPr>
              <w:pStyle w:val="243"/>
              <w:snapToGrid w:val="0"/>
              <w:jc w:val="center"/>
              <w:rPr>
                <w:rFonts w:ascii="楷体" w:hAnsi="楷体" w:eastAsia="楷体"/>
                <w:bCs/>
              </w:rPr>
            </w:pPr>
            <w:r>
              <w:rPr>
                <w:rFonts w:hint="eastAsia" w:ascii="楷体" w:hAnsi="楷体" w:eastAsia="楷体"/>
                <w:bCs/>
              </w:rPr>
              <w:t>成都</w:t>
            </w:r>
          </w:p>
        </w:tc>
        <w:tc>
          <w:tcPr>
            <w:tcW w:w="1275" w:type="dxa"/>
            <w:vAlign w:val="center"/>
          </w:tcPr>
          <w:p>
            <w:pPr>
              <w:pStyle w:val="243"/>
              <w:snapToGrid w:val="0"/>
              <w:rPr>
                <w:rFonts w:ascii="楷体" w:hAnsi="楷体" w:eastAsia="楷体"/>
                <w:bCs/>
              </w:rPr>
            </w:pPr>
            <w:r>
              <w:rPr>
                <w:rFonts w:hint="eastAsia" w:ascii="楷体" w:hAnsi="楷体" w:eastAsia="楷体"/>
                <w:bCs/>
              </w:rPr>
              <w:t>国网四川省电力公司天府新区供电公司</w:t>
            </w:r>
          </w:p>
        </w:tc>
        <w:tc>
          <w:tcPr>
            <w:tcW w:w="709" w:type="dxa"/>
            <w:vAlign w:val="center"/>
          </w:tcPr>
          <w:p>
            <w:pPr>
              <w:pStyle w:val="243"/>
              <w:snapToGrid w:val="0"/>
              <w:jc w:val="center"/>
              <w:rPr>
                <w:rFonts w:ascii="楷体" w:hAnsi="楷体" w:eastAsia="楷体"/>
                <w:bCs/>
              </w:rPr>
            </w:pPr>
            <w:r>
              <w:rPr>
                <w:rFonts w:ascii="楷体" w:hAnsi="楷体" w:eastAsia="楷体"/>
                <w:bCs/>
              </w:rPr>
              <w:t>166</w:t>
            </w:r>
            <w:r>
              <w:rPr>
                <w:rFonts w:hint="eastAsia" w:ascii="楷体" w:hAnsi="楷体" w:eastAsia="楷体"/>
                <w:bCs/>
              </w:rPr>
              <w:t>万</w:t>
            </w:r>
          </w:p>
        </w:tc>
        <w:tc>
          <w:tcPr>
            <w:tcW w:w="709" w:type="dxa"/>
            <w:vAlign w:val="center"/>
          </w:tcPr>
          <w:p>
            <w:pPr>
              <w:pStyle w:val="243"/>
              <w:snapToGrid w:val="0"/>
              <w:jc w:val="center"/>
              <w:rPr>
                <w:rFonts w:ascii="楷体" w:hAnsi="楷体" w:eastAsia="楷体"/>
                <w:bCs/>
              </w:rPr>
            </w:pPr>
            <w:r>
              <w:rPr>
                <w:rFonts w:hint="eastAsia" w:ascii="楷体" w:hAnsi="楷体" w:eastAsia="楷体"/>
                <w:bCs/>
              </w:rPr>
              <w:t>在研</w:t>
            </w:r>
          </w:p>
        </w:tc>
        <w:tc>
          <w:tcPr>
            <w:tcW w:w="2476" w:type="dxa"/>
            <w:vAlign w:val="center"/>
          </w:tcPr>
          <w:p>
            <w:pPr>
              <w:pStyle w:val="243"/>
              <w:snapToGrid w:val="0"/>
              <w:rPr>
                <w:rFonts w:ascii="楷体" w:hAnsi="楷体" w:eastAsia="楷体"/>
                <w:bCs/>
              </w:rPr>
            </w:pPr>
            <w:r>
              <w:rPr>
                <w:rFonts w:hint="eastAsia" w:ascii="楷体" w:hAnsi="楷体" w:eastAsia="楷体"/>
                <w:bCs/>
                <w:lang w:eastAsia="zh-CN"/>
              </w:rPr>
              <w:t>该项目研制开关柜状态监测与追溯装置，并开发相关集成系统，可为大电流开关柜散热装置控制智能化专项整治服务提供关键技术支撑</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dxa"/>
            <w:vAlign w:val="center"/>
          </w:tcPr>
          <w:p>
            <w:pPr>
              <w:pStyle w:val="243"/>
              <w:snapToGrid w:val="0"/>
              <w:rPr>
                <w:rFonts w:ascii="楷体" w:hAnsi="楷体" w:eastAsia="楷体"/>
                <w:b/>
              </w:rPr>
            </w:pPr>
          </w:p>
        </w:tc>
        <w:tc>
          <w:tcPr>
            <w:tcW w:w="1879" w:type="dxa"/>
            <w:vAlign w:val="center"/>
          </w:tcPr>
          <w:p>
            <w:pPr>
              <w:pStyle w:val="243"/>
              <w:snapToGrid w:val="0"/>
              <w:rPr>
                <w:rFonts w:ascii="楷体" w:hAnsi="楷体" w:eastAsia="楷体"/>
                <w:b/>
              </w:rPr>
            </w:pPr>
          </w:p>
        </w:tc>
        <w:tc>
          <w:tcPr>
            <w:tcW w:w="709" w:type="dxa"/>
            <w:vAlign w:val="center"/>
          </w:tcPr>
          <w:p>
            <w:pPr>
              <w:pStyle w:val="243"/>
              <w:snapToGrid w:val="0"/>
              <w:rPr>
                <w:rFonts w:ascii="楷体" w:hAnsi="楷体" w:eastAsia="楷体"/>
                <w:b/>
              </w:rPr>
            </w:pPr>
          </w:p>
        </w:tc>
        <w:tc>
          <w:tcPr>
            <w:tcW w:w="1275" w:type="dxa"/>
            <w:vAlign w:val="center"/>
          </w:tcPr>
          <w:p>
            <w:pPr>
              <w:pStyle w:val="243"/>
              <w:snapToGrid w:val="0"/>
              <w:rPr>
                <w:rFonts w:ascii="楷体" w:hAnsi="楷体" w:eastAsia="楷体"/>
                <w:b/>
              </w:rPr>
            </w:pPr>
          </w:p>
        </w:tc>
        <w:tc>
          <w:tcPr>
            <w:tcW w:w="709" w:type="dxa"/>
            <w:vAlign w:val="center"/>
          </w:tcPr>
          <w:p>
            <w:pPr>
              <w:pStyle w:val="243"/>
              <w:snapToGrid w:val="0"/>
              <w:rPr>
                <w:rFonts w:ascii="楷体" w:hAnsi="楷体" w:eastAsia="楷体"/>
                <w:b/>
              </w:rPr>
            </w:pPr>
          </w:p>
        </w:tc>
        <w:tc>
          <w:tcPr>
            <w:tcW w:w="709" w:type="dxa"/>
            <w:vAlign w:val="center"/>
          </w:tcPr>
          <w:p>
            <w:pPr>
              <w:pStyle w:val="243"/>
              <w:snapToGrid w:val="0"/>
              <w:rPr>
                <w:rFonts w:ascii="楷体" w:hAnsi="楷体" w:eastAsia="楷体"/>
                <w:b/>
              </w:rPr>
            </w:pPr>
          </w:p>
        </w:tc>
        <w:tc>
          <w:tcPr>
            <w:tcW w:w="2476" w:type="dxa"/>
            <w:vAlign w:val="center"/>
          </w:tcPr>
          <w:p>
            <w:pPr>
              <w:pStyle w:val="243"/>
              <w:snapToGrid w:val="0"/>
              <w:rPr>
                <w:rFonts w:ascii="楷体" w:hAnsi="楷体" w:eastAsia="楷体"/>
                <w:b/>
              </w:rPr>
            </w:pP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dxa"/>
            <w:vAlign w:val="center"/>
          </w:tcPr>
          <w:p>
            <w:pPr>
              <w:pStyle w:val="243"/>
              <w:snapToGrid w:val="0"/>
              <w:rPr>
                <w:rFonts w:ascii="楷体" w:hAnsi="楷体" w:eastAsia="楷体"/>
                <w:b/>
              </w:rPr>
            </w:pPr>
          </w:p>
        </w:tc>
        <w:tc>
          <w:tcPr>
            <w:tcW w:w="1879" w:type="dxa"/>
            <w:vAlign w:val="center"/>
          </w:tcPr>
          <w:p>
            <w:pPr>
              <w:pStyle w:val="243"/>
              <w:snapToGrid w:val="0"/>
              <w:rPr>
                <w:rFonts w:ascii="楷体" w:hAnsi="楷体" w:eastAsia="楷体"/>
                <w:b/>
              </w:rPr>
            </w:pPr>
          </w:p>
        </w:tc>
        <w:tc>
          <w:tcPr>
            <w:tcW w:w="709" w:type="dxa"/>
            <w:vAlign w:val="center"/>
          </w:tcPr>
          <w:p>
            <w:pPr>
              <w:pStyle w:val="243"/>
              <w:snapToGrid w:val="0"/>
              <w:rPr>
                <w:rFonts w:ascii="楷体" w:hAnsi="楷体" w:eastAsia="楷体"/>
                <w:b/>
              </w:rPr>
            </w:pPr>
          </w:p>
        </w:tc>
        <w:tc>
          <w:tcPr>
            <w:tcW w:w="1275" w:type="dxa"/>
            <w:vAlign w:val="center"/>
          </w:tcPr>
          <w:p>
            <w:pPr>
              <w:pStyle w:val="243"/>
              <w:snapToGrid w:val="0"/>
              <w:rPr>
                <w:rFonts w:ascii="楷体" w:hAnsi="楷体" w:eastAsia="楷体"/>
                <w:b/>
              </w:rPr>
            </w:pPr>
          </w:p>
        </w:tc>
        <w:tc>
          <w:tcPr>
            <w:tcW w:w="709" w:type="dxa"/>
            <w:vAlign w:val="center"/>
          </w:tcPr>
          <w:p>
            <w:pPr>
              <w:pStyle w:val="243"/>
              <w:snapToGrid w:val="0"/>
              <w:rPr>
                <w:rFonts w:ascii="楷体" w:hAnsi="楷体" w:eastAsia="楷体"/>
                <w:b/>
              </w:rPr>
            </w:pPr>
          </w:p>
        </w:tc>
        <w:tc>
          <w:tcPr>
            <w:tcW w:w="709" w:type="dxa"/>
            <w:vAlign w:val="center"/>
          </w:tcPr>
          <w:p>
            <w:pPr>
              <w:pStyle w:val="243"/>
              <w:snapToGrid w:val="0"/>
              <w:rPr>
                <w:rFonts w:ascii="楷体" w:hAnsi="楷体" w:eastAsia="楷体"/>
                <w:b/>
              </w:rPr>
            </w:pPr>
          </w:p>
        </w:tc>
        <w:tc>
          <w:tcPr>
            <w:tcW w:w="2476" w:type="dxa"/>
            <w:vAlign w:val="center"/>
          </w:tcPr>
          <w:p>
            <w:pPr>
              <w:pStyle w:val="243"/>
              <w:snapToGrid w:val="0"/>
              <w:rPr>
                <w:rFonts w:ascii="楷体" w:hAnsi="楷体" w:eastAsia="楷体"/>
                <w:b/>
              </w:rPr>
            </w:pPr>
          </w:p>
        </w:tc>
      </w:tr>
    </w:tbl>
    <w:p>
      <w:pPr>
        <w:spacing w:line="400" w:lineRule="exact"/>
        <w:rPr>
          <w:rFonts w:ascii="楷体" w:hAnsi="楷体"/>
          <w:b/>
        </w:rPr>
      </w:pPr>
    </w:p>
    <w:p>
      <w:pPr>
        <w:widowControl/>
        <w:jc w:val="left"/>
        <w:rPr>
          <w:rFonts w:ascii="楷体" w:hAnsi="楷体"/>
          <w:b/>
        </w:rPr>
      </w:pPr>
      <w:r>
        <w:rPr>
          <w:rFonts w:ascii="楷体" w:hAnsi="楷体"/>
          <w:b/>
        </w:rPr>
        <w:br w:type="page"/>
      </w:r>
    </w:p>
    <w:p>
      <w:pPr>
        <w:pStyle w:val="3"/>
        <w:rPr>
          <w:sz w:val="24"/>
        </w:rPr>
      </w:pPr>
      <w:r>
        <w:rPr>
          <w:rFonts w:hint="eastAsia"/>
        </w:rPr>
        <w:t>7、应答人项目经理简</w:t>
      </w:r>
      <w:commentRangeStart w:id="6"/>
      <w:r>
        <w:rPr>
          <w:rFonts w:hint="eastAsia"/>
        </w:rPr>
        <w:t>历表（如有要求）</w:t>
      </w:r>
      <w:commentRangeEnd w:id="6"/>
      <w:r>
        <w:rPr>
          <w:rStyle w:val="56"/>
          <w:rFonts w:eastAsia="宋体" w:asciiTheme="minorHAnsi" w:hAnsiTheme="minorHAnsi" w:cstheme="minorBidi"/>
          <w:b w:val="0"/>
          <w:szCs w:val="22"/>
        </w:rPr>
        <w:commentReference w:id="6"/>
      </w:r>
    </w:p>
    <w:p>
      <w:pPr>
        <w:pStyle w:val="350"/>
        <w:spacing w:line="400" w:lineRule="exact"/>
        <w:ind w:firstLine="420"/>
        <w:rPr>
          <w:rFonts w:ascii="楷体" w:hAnsi="楷体" w:eastAsia="楷体"/>
          <w:b/>
          <w:sz w:val="24"/>
        </w:rPr>
      </w:pPr>
      <w:r>
        <w:rPr>
          <w:rFonts w:hint="eastAsia" w:ascii="楷体" w:hAnsi="楷体" w:eastAsia="楷体"/>
        </w:rPr>
        <w:t>项目经理简历表应附</w:t>
      </w:r>
      <w:r>
        <w:rPr>
          <w:rFonts w:hint="eastAsia" w:ascii="楷体" w:hAnsi="楷体" w:eastAsia="楷体"/>
          <w:lang w:eastAsia="zh-CN"/>
        </w:rPr>
        <w:t>资质</w:t>
      </w:r>
      <w:r>
        <w:rPr>
          <w:rFonts w:hint="eastAsia" w:ascii="楷体" w:hAnsi="楷体" w:eastAsia="楷体"/>
        </w:rPr>
        <w:t>证、身份证、职称证、学历证、养老保险</w:t>
      </w:r>
      <w:r>
        <w:rPr>
          <w:rFonts w:hint="eastAsia" w:ascii="楷体" w:hAnsi="楷体" w:eastAsia="楷体"/>
          <w:lang w:eastAsia="zh-CN"/>
        </w:rPr>
        <w:t>影印</w:t>
      </w:r>
      <w:r>
        <w:rPr>
          <w:rFonts w:hint="eastAsia" w:ascii="楷体" w:hAnsi="楷体" w:eastAsia="楷体"/>
        </w:rPr>
        <w:t>件，</w:t>
      </w:r>
      <w:r>
        <w:rPr>
          <w:rFonts w:hint="eastAsia" w:ascii="楷体" w:hAnsi="楷体" w:eastAsia="楷体"/>
          <w:lang w:eastAsia="zh-CN"/>
        </w:rPr>
        <w:t>咨询</w:t>
      </w:r>
      <w:r>
        <w:rPr>
          <w:rFonts w:hint="eastAsia" w:ascii="楷体" w:hAnsi="楷体" w:eastAsia="楷体"/>
        </w:rPr>
        <w:t>过的项目业绩须附合同协议书</w:t>
      </w:r>
      <w:r>
        <w:rPr>
          <w:rFonts w:hint="eastAsia" w:ascii="楷体" w:hAnsi="楷体" w:eastAsia="楷体"/>
          <w:lang w:eastAsia="zh-CN"/>
        </w:rPr>
        <w:t>影印</w:t>
      </w:r>
      <w:r>
        <w:rPr>
          <w:rFonts w:hint="eastAsia" w:ascii="楷体" w:hAnsi="楷体" w:eastAsia="楷体"/>
        </w:rPr>
        <w:t>件</w:t>
      </w:r>
      <w:r>
        <w:rPr>
          <w:rFonts w:hint="eastAsia" w:ascii="楷体" w:hAnsi="楷体" w:eastAsia="楷体"/>
          <w:lang w:eastAsia="zh-CN"/>
        </w:rPr>
        <w:t>。</w:t>
      </w:r>
    </w:p>
    <w:p>
      <w:pPr>
        <w:pStyle w:val="282"/>
        <w:rPr>
          <w:rFonts w:ascii="楷体" w:hAnsi="楷体" w:eastAsia="楷体"/>
        </w:rPr>
      </w:pPr>
      <w:r>
        <w:rPr>
          <w:rFonts w:ascii="楷体" w:hAnsi="楷体" w:eastAsia="楷体"/>
        </w:rPr>
        <w:t>项目经理简历表</w:t>
      </w:r>
    </w:p>
    <w:tbl>
      <w:tblPr>
        <w:tblStyle w:val="49"/>
        <w:tblW w:w="852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21"/>
        <w:gridCol w:w="1525"/>
        <w:gridCol w:w="182"/>
        <w:gridCol w:w="1207"/>
        <w:gridCol w:w="544"/>
        <w:gridCol w:w="817"/>
        <w:gridCol w:w="1144"/>
        <w:gridCol w:w="317"/>
        <w:gridCol w:w="12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21" w:type="dxa"/>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姓</w:t>
            </w:r>
            <w:r>
              <w:rPr>
                <w:rFonts w:hint="eastAsia" w:ascii="楷体" w:hAnsi="楷体" w:eastAsia="楷体"/>
                <w:kern w:val="2"/>
                <w:sz w:val="18"/>
                <w:lang w:eastAsia="zh-CN"/>
              </w:rPr>
              <w:t xml:space="preserve">    </w:t>
            </w:r>
            <w:r>
              <w:rPr>
                <w:rFonts w:ascii="楷体" w:hAnsi="楷体" w:eastAsia="楷体"/>
                <w:kern w:val="2"/>
                <w:sz w:val="18"/>
              </w:rPr>
              <w:t>名</w:t>
            </w:r>
          </w:p>
        </w:tc>
        <w:tc>
          <w:tcPr>
            <w:tcW w:w="1525" w:type="dxa"/>
            <w:vAlign w:val="center"/>
          </w:tcPr>
          <w:p>
            <w:pPr>
              <w:pStyle w:val="350"/>
              <w:suppressAutoHyphens w:val="0"/>
              <w:adjustRightInd w:val="0"/>
              <w:snapToGrid w:val="0"/>
              <w:spacing w:before="60" w:after="60"/>
              <w:jc w:val="center"/>
              <w:rPr>
                <w:rFonts w:ascii="楷体" w:hAnsi="楷体" w:eastAsia="楷体"/>
                <w:kern w:val="2"/>
                <w:sz w:val="18"/>
              </w:rPr>
            </w:pPr>
            <w:r>
              <w:rPr>
                <w:rFonts w:eastAsia="仿宋_GB2312"/>
                <w:szCs w:val="21"/>
              </w:rPr>
              <w:t>刘友波</w:t>
            </w:r>
          </w:p>
        </w:tc>
        <w:tc>
          <w:tcPr>
            <w:tcW w:w="1389"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性</w:t>
            </w:r>
            <w:r>
              <w:rPr>
                <w:rFonts w:hint="eastAsia" w:ascii="楷体" w:hAnsi="楷体" w:eastAsia="楷体"/>
                <w:kern w:val="2"/>
                <w:sz w:val="18"/>
                <w:lang w:eastAsia="zh-CN"/>
              </w:rPr>
              <w:t xml:space="preserve">    </w:t>
            </w:r>
            <w:r>
              <w:rPr>
                <w:rFonts w:ascii="楷体" w:hAnsi="楷体" w:eastAsia="楷体"/>
                <w:kern w:val="2"/>
                <w:sz w:val="18"/>
              </w:rPr>
              <w:t>别</w:t>
            </w:r>
          </w:p>
        </w:tc>
        <w:tc>
          <w:tcPr>
            <w:tcW w:w="1361"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eastAsia="仿宋_GB2312"/>
                <w:szCs w:val="21"/>
              </w:rPr>
              <w:t>男</w:t>
            </w:r>
          </w:p>
        </w:tc>
        <w:tc>
          <w:tcPr>
            <w:tcW w:w="1461"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年</w:t>
            </w:r>
            <w:r>
              <w:rPr>
                <w:rFonts w:hint="eastAsia" w:ascii="楷体" w:hAnsi="楷体" w:eastAsia="楷体"/>
                <w:kern w:val="2"/>
                <w:sz w:val="18"/>
                <w:lang w:eastAsia="zh-CN"/>
              </w:rPr>
              <w:t xml:space="preserve">    </w:t>
            </w:r>
            <w:r>
              <w:rPr>
                <w:rFonts w:ascii="楷体" w:hAnsi="楷体" w:eastAsia="楷体"/>
                <w:kern w:val="2"/>
                <w:sz w:val="18"/>
              </w:rPr>
              <w:t>龄</w:t>
            </w:r>
          </w:p>
        </w:tc>
        <w:tc>
          <w:tcPr>
            <w:tcW w:w="1266"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eastAsia="仿宋_GB2312"/>
                <w:szCs w:val="21"/>
                <w:lang w:eastAsia="zh-CN"/>
              </w:rPr>
              <w:t>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21" w:type="dxa"/>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职</w:t>
            </w:r>
            <w:r>
              <w:rPr>
                <w:rFonts w:hint="eastAsia" w:ascii="楷体" w:hAnsi="楷体" w:eastAsia="楷体"/>
                <w:kern w:val="2"/>
                <w:sz w:val="18"/>
                <w:lang w:eastAsia="zh-CN"/>
              </w:rPr>
              <w:t xml:space="preserve">    </w:t>
            </w:r>
            <w:r>
              <w:rPr>
                <w:rFonts w:ascii="楷体" w:hAnsi="楷体" w:eastAsia="楷体"/>
                <w:kern w:val="2"/>
                <w:sz w:val="18"/>
              </w:rPr>
              <w:t>务</w:t>
            </w:r>
          </w:p>
        </w:tc>
        <w:tc>
          <w:tcPr>
            <w:tcW w:w="1525" w:type="dxa"/>
            <w:vAlign w:val="center"/>
          </w:tcPr>
          <w:p>
            <w:pPr>
              <w:pStyle w:val="350"/>
              <w:suppressAutoHyphens w:val="0"/>
              <w:adjustRightInd w:val="0"/>
              <w:snapToGrid w:val="0"/>
              <w:spacing w:before="60" w:after="60"/>
              <w:jc w:val="center"/>
              <w:rPr>
                <w:rFonts w:ascii="楷体" w:hAnsi="楷体" w:eastAsia="楷体"/>
                <w:kern w:val="2"/>
                <w:sz w:val="18"/>
              </w:rPr>
            </w:pPr>
            <w:r>
              <w:rPr>
                <w:rFonts w:eastAsia="仿宋_GB2312"/>
                <w:szCs w:val="21"/>
              </w:rPr>
              <w:t>硕士生导师</w:t>
            </w:r>
          </w:p>
        </w:tc>
        <w:tc>
          <w:tcPr>
            <w:tcW w:w="1389"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职</w:t>
            </w:r>
            <w:r>
              <w:rPr>
                <w:rFonts w:hint="eastAsia" w:ascii="楷体" w:hAnsi="楷体" w:eastAsia="楷体"/>
                <w:kern w:val="2"/>
                <w:sz w:val="18"/>
                <w:lang w:eastAsia="zh-CN"/>
              </w:rPr>
              <w:t xml:space="preserve">    </w:t>
            </w:r>
            <w:r>
              <w:rPr>
                <w:rFonts w:ascii="楷体" w:hAnsi="楷体" w:eastAsia="楷体"/>
                <w:kern w:val="2"/>
                <w:sz w:val="18"/>
              </w:rPr>
              <w:t>称</w:t>
            </w:r>
          </w:p>
        </w:tc>
        <w:tc>
          <w:tcPr>
            <w:tcW w:w="1361"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eastAsia="仿宋_GB2312"/>
                <w:szCs w:val="21"/>
              </w:rPr>
              <w:t>副教授</w:t>
            </w:r>
          </w:p>
        </w:tc>
        <w:tc>
          <w:tcPr>
            <w:tcW w:w="1461"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学</w:t>
            </w:r>
            <w:r>
              <w:rPr>
                <w:rFonts w:hint="eastAsia" w:ascii="楷体" w:hAnsi="楷体" w:eastAsia="楷体"/>
                <w:kern w:val="2"/>
                <w:sz w:val="18"/>
                <w:lang w:eastAsia="zh-CN"/>
              </w:rPr>
              <w:t xml:space="preserve">    </w:t>
            </w:r>
            <w:r>
              <w:rPr>
                <w:rFonts w:ascii="楷体" w:hAnsi="楷体" w:eastAsia="楷体"/>
                <w:kern w:val="2"/>
                <w:sz w:val="18"/>
              </w:rPr>
              <w:t>历</w:t>
            </w:r>
          </w:p>
        </w:tc>
        <w:tc>
          <w:tcPr>
            <w:tcW w:w="1266" w:type="dxa"/>
            <w:vAlign w:val="center"/>
          </w:tcPr>
          <w:p>
            <w:pPr>
              <w:pStyle w:val="350"/>
              <w:suppressAutoHyphens w:val="0"/>
              <w:adjustRightInd w:val="0"/>
              <w:snapToGrid w:val="0"/>
              <w:spacing w:before="60" w:after="60"/>
              <w:jc w:val="center"/>
              <w:rPr>
                <w:rFonts w:ascii="楷体" w:hAnsi="楷体" w:eastAsia="楷体"/>
                <w:kern w:val="2"/>
                <w:sz w:val="18"/>
              </w:rPr>
            </w:pPr>
            <w:r>
              <w:rPr>
                <w:rFonts w:eastAsia="仿宋_GB2312"/>
                <w:szCs w:val="21"/>
              </w:rPr>
              <w:t>博士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21" w:type="dxa"/>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参加工作时间</w:t>
            </w:r>
          </w:p>
        </w:tc>
        <w:tc>
          <w:tcPr>
            <w:tcW w:w="3458" w:type="dxa"/>
            <w:gridSpan w:val="4"/>
            <w:vAlign w:val="center"/>
          </w:tcPr>
          <w:p>
            <w:pPr>
              <w:pStyle w:val="350"/>
              <w:suppressAutoHyphens w:val="0"/>
              <w:adjustRightInd w:val="0"/>
              <w:snapToGrid w:val="0"/>
              <w:spacing w:before="60" w:after="60"/>
              <w:jc w:val="center"/>
              <w:rPr>
                <w:rFonts w:ascii="楷体" w:hAnsi="楷体" w:eastAsia="楷体"/>
                <w:kern w:val="2"/>
                <w:sz w:val="18"/>
              </w:rPr>
            </w:pPr>
            <w:r>
              <w:rPr>
                <w:rFonts w:eastAsia="仿宋_GB2312"/>
                <w:szCs w:val="21"/>
              </w:rPr>
              <w:t>2011年</w:t>
            </w:r>
          </w:p>
        </w:tc>
        <w:tc>
          <w:tcPr>
            <w:tcW w:w="1961"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从事项目经理年限</w:t>
            </w:r>
          </w:p>
        </w:tc>
        <w:tc>
          <w:tcPr>
            <w:tcW w:w="1583" w:type="dxa"/>
            <w:gridSpan w:val="2"/>
            <w:vAlign w:val="center"/>
          </w:tcPr>
          <w:p>
            <w:pPr>
              <w:pStyle w:val="350"/>
              <w:suppressAutoHyphens w:val="0"/>
              <w:adjustRightInd w:val="0"/>
              <w:snapToGrid w:val="0"/>
              <w:spacing w:before="60" w:after="60"/>
              <w:jc w:val="center"/>
              <w:rPr>
                <w:rFonts w:ascii="楷体" w:hAnsi="楷体" w:eastAsia="楷体"/>
                <w:kern w:val="2"/>
                <w:sz w:val="18"/>
                <w:lang w:eastAsia="zh-CN"/>
              </w:rPr>
            </w:pPr>
            <w:r>
              <w:rPr>
                <w:rFonts w:ascii="楷体" w:hAnsi="楷体" w:eastAsia="楷体"/>
                <w:kern w:val="2"/>
                <w:sz w:val="18"/>
              </w:rPr>
              <w:t xml:space="preserve"> </w:t>
            </w:r>
            <w:r>
              <w:rPr>
                <w:rFonts w:eastAsia="仿宋_GB2312"/>
                <w:szCs w:val="21"/>
              </w:rPr>
              <w:t>8年</w:t>
            </w:r>
            <w:r>
              <w:rPr>
                <w:rFonts w:hint="cs" w:eastAsia="仿宋_GB2312"/>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523" w:type="dxa"/>
            <w:gridSpan w:val="9"/>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已完项目情况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21" w:type="dxa"/>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项目名称</w:t>
            </w:r>
          </w:p>
        </w:tc>
        <w:tc>
          <w:tcPr>
            <w:tcW w:w="1707"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hint="eastAsia" w:ascii="楷体" w:hAnsi="楷体" w:eastAsia="楷体"/>
                <w:kern w:val="2"/>
                <w:sz w:val="18"/>
                <w:lang w:eastAsia="zh-CN"/>
              </w:rPr>
              <w:t>项目</w:t>
            </w:r>
            <w:r>
              <w:rPr>
                <w:rFonts w:ascii="楷体" w:hAnsi="楷体" w:eastAsia="楷体"/>
                <w:kern w:val="2"/>
                <w:sz w:val="18"/>
              </w:rPr>
              <w:t>规模</w:t>
            </w:r>
          </w:p>
        </w:tc>
        <w:tc>
          <w:tcPr>
            <w:tcW w:w="1751"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hint="eastAsia" w:ascii="楷体" w:hAnsi="楷体" w:eastAsia="楷体"/>
                <w:kern w:val="2"/>
                <w:sz w:val="18"/>
                <w:lang w:eastAsia="zh-CN"/>
              </w:rPr>
              <w:t>开始</w:t>
            </w:r>
            <w:r>
              <w:rPr>
                <w:rFonts w:ascii="楷体" w:hAnsi="楷体" w:eastAsia="楷体"/>
                <w:kern w:val="2"/>
                <w:sz w:val="18"/>
              </w:rPr>
              <w:t>/</w:t>
            </w:r>
            <w:r>
              <w:rPr>
                <w:rFonts w:hint="eastAsia" w:ascii="楷体" w:hAnsi="楷体" w:eastAsia="楷体"/>
                <w:kern w:val="2"/>
                <w:sz w:val="18"/>
                <w:lang w:eastAsia="zh-CN"/>
              </w:rPr>
              <w:t>结束</w:t>
            </w:r>
            <w:r>
              <w:rPr>
                <w:rFonts w:ascii="楷体" w:hAnsi="楷体" w:eastAsia="楷体"/>
                <w:kern w:val="2"/>
                <w:sz w:val="18"/>
              </w:rPr>
              <w:t>日期</w:t>
            </w:r>
          </w:p>
        </w:tc>
        <w:tc>
          <w:tcPr>
            <w:tcW w:w="1961"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担负的技术职务</w:t>
            </w:r>
          </w:p>
        </w:tc>
        <w:tc>
          <w:tcPr>
            <w:tcW w:w="1583"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获奖情况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jc w:val="center"/>
        </w:trPr>
        <w:tc>
          <w:tcPr>
            <w:tcW w:w="1521"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rPr>
              <w:t>新能源发电快速响应及柔性调度机制探索与实践</w:t>
            </w:r>
          </w:p>
        </w:tc>
        <w:tc>
          <w:tcPr>
            <w:tcW w:w="1707" w:type="dxa"/>
            <w:gridSpan w:val="2"/>
            <w:vAlign w:val="center"/>
          </w:tcPr>
          <w:p>
            <w:pPr>
              <w:pStyle w:val="350"/>
              <w:suppressAutoHyphens w:val="0"/>
              <w:adjustRightInd w:val="0"/>
              <w:snapToGrid w:val="0"/>
              <w:spacing w:before="60" w:after="60"/>
              <w:jc w:val="center"/>
              <w:rPr>
                <w:rFonts w:ascii="楷体" w:hAnsi="楷体" w:eastAsia="楷体"/>
                <w:kern w:val="2"/>
                <w:sz w:val="18"/>
              </w:rPr>
            </w:pPr>
            <w:r>
              <w:t>48.2万</w:t>
            </w:r>
          </w:p>
        </w:tc>
        <w:tc>
          <w:tcPr>
            <w:tcW w:w="1751" w:type="dxa"/>
            <w:gridSpan w:val="2"/>
            <w:vAlign w:val="center"/>
          </w:tcPr>
          <w:p>
            <w:pPr>
              <w:pStyle w:val="350"/>
              <w:suppressAutoHyphens w:val="0"/>
              <w:adjustRightInd w:val="0"/>
              <w:snapToGrid w:val="0"/>
              <w:spacing w:before="60" w:after="60"/>
              <w:jc w:val="center"/>
              <w:rPr>
                <w:rFonts w:ascii="楷体" w:hAnsi="楷体" w:eastAsia="楷体"/>
                <w:kern w:val="2"/>
                <w:sz w:val="18"/>
              </w:rPr>
            </w:pPr>
            <w:r>
              <w:t>2019.5-2019.11</w:t>
            </w:r>
          </w:p>
        </w:tc>
        <w:tc>
          <w:tcPr>
            <w:tcW w:w="1961" w:type="dxa"/>
            <w:gridSpan w:val="2"/>
            <w:vAlign w:val="center"/>
          </w:tcPr>
          <w:p>
            <w:pPr>
              <w:pStyle w:val="350"/>
              <w:suppressAutoHyphens w:val="0"/>
              <w:adjustRightInd w:val="0"/>
              <w:snapToGrid w:val="0"/>
              <w:spacing w:before="60" w:after="60"/>
              <w:jc w:val="center"/>
              <w:rPr>
                <w:rFonts w:ascii="楷体" w:hAnsi="楷体" w:eastAsia="楷体"/>
                <w:kern w:val="2"/>
                <w:sz w:val="18"/>
              </w:rPr>
            </w:pPr>
            <w:r>
              <w:t>项目负责人</w:t>
            </w:r>
          </w:p>
        </w:tc>
        <w:tc>
          <w:tcPr>
            <w:tcW w:w="1583" w:type="dxa"/>
            <w:gridSpan w:val="2"/>
            <w:vAlign w:val="center"/>
          </w:tcPr>
          <w:p>
            <w:pPr>
              <w:pStyle w:val="350"/>
              <w:suppressAutoHyphens w:val="0"/>
              <w:adjustRightInd w:val="0"/>
              <w:snapToGrid w:val="0"/>
              <w:spacing w:before="60" w:after="60"/>
              <w:jc w:val="center"/>
              <w:rPr>
                <w:rFonts w:ascii="楷体" w:hAnsi="楷体" w:eastAsia="楷体"/>
                <w:kern w:val="2"/>
                <w:sz w:val="18"/>
              </w:rPr>
            </w:pPr>
            <w: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jc w:val="center"/>
        </w:trPr>
        <w:tc>
          <w:tcPr>
            <w:tcW w:w="1521"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rPr>
              <w:t>应用于电网运行方式分析的深度强化学习技术研究</w:t>
            </w:r>
          </w:p>
        </w:tc>
        <w:tc>
          <w:tcPr>
            <w:tcW w:w="1707" w:type="dxa"/>
            <w:gridSpan w:val="2"/>
            <w:vAlign w:val="center"/>
          </w:tcPr>
          <w:p>
            <w:pPr>
              <w:pStyle w:val="350"/>
              <w:suppressAutoHyphens w:val="0"/>
              <w:adjustRightInd w:val="0"/>
              <w:snapToGrid w:val="0"/>
              <w:spacing w:before="60" w:after="60"/>
              <w:jc w:val="center"/>
              <w:rPr>
                <w:rFonts w:ascii="楷体" w:hAnsi="楷体" w:eastAsia="楷体"/>
                <w:kern w:val="2"/>
                <w:sz w:val="18"/>
              </w:rPr>
            </w:pPr>
            <w:r>
              <w:t>50万</w:t>
            </w:r>
          </w:p>
        </w:tc>
        <w:tc>
          <w:tcPr>
            <w:tcW w:w="1751" w:type="dxa"/>
            <w:gridSpan w:val="2"/>
            <w:vAlign w:val="center"/>
          </w:tcPr>
          <w:p>
            <w:pPr>
              <w:pStyle w:val="350"/>
              <w:suppressAutoHyphens w:val="0"/>
              <w:adjustRightInd w:val="0"/>
              <w:snapToGrid w:val="0"/>
              <w:spacing w:before="60" w:after="60"/>
              <w:jc w:val="center"/>
              <w:rPr>
                <w:rFonts w:ascii="楷体" w:hAnsi="楷体" w:eastAsia="楷体"/>
                <w:kern w:val="2"/>
                <w:sz w:val="18"/>
              </w:rPr>
            </w:pPr>
            <w:r>
              <w:t>2019.6-2021.6</w:t>
            </w:r>
          </w:p>
        </w:tc>
        <w:tc>
          <w:tcPr>
            <w:tcW w:w="1961" w:type="dxa"/>
            <w:gridSpan w:val="2"/>
            <w:vAlign w:val="center"/>
          </w:tcPr>
          <w:p>
            <w:pPr>
              <w:pStyle w:val="350"/>
              <w:suppressAutoHyphens w:val="0"/>
              <w:adjustRightInd w:val="0"/>
              <w:snapToGrid w:val="0"/>
              <w:spacing w:before="60" w:after="60"/>
              <w:jc w:val="center"/>
              <w:rPr>
                <w:rFonts w:ascii="楷体" w:hAnsi="楷体" w:eastAsia="楷体"/>
                <w:kern w:val="2"/>
                <w:sz w:val="18"/>
              </w:rPr>
            </w:pPr>
            <w:r>
              <w:t>项目负责人</w:t>
            </w:r>
          </w:p>
        </w:tc>
        <w:tc>
          <w:tcPr>
            <w:tcW w:w="1583" w:type="dxa"/>
            <w:gridSpan w:val="2"/>
            <w:vAlign w:val="center"/>
          </w:tcPr>
          <w:p>
            <w:pPr>
              <w:pStyle w:val="350"/>
              <w:suppressAutoHyphens w:val="0"/>
              <w:adjustRightInd w:val="0"/>
              <w:snapToGrid w:val="0"/>
              <w:spacing w:before="60" w:after="60"/>
              <w:jc w:val="center"/>
              <w:rPr>
                <w:rFonts w:ascii="楷体" w:hAnsi="楷体" w:eastAsia="楷体"/>
                <w:kern w:val="2"/>
                <w:sz w:val="18"/>
              </w:rPr>
            </w:pPr>
            <w: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21"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rPr>
              <w:t>电力应急抢险资源优化调度与指挥辅助决策研究</w:t>
            </w:r>
          </w:p>
        </w:tc>
        <w:tc>
          <w:tcPr>
            <w:tcW w:w="1707" w:type="dxa"/>
            <w:gridSpan w:val="2"/>
            <w:vAlign w:val="center"/>
          </w:tcPr>
          <w:p>
            <w:pPr>
              <w:pStyle w:val="350"/>
              <w:suppressAutoHyphens w:val="0"/>
              <w:adjustRightInd w:val="0"/>
              <w:snapToGrid w:val="0"/>
              <w:spacing w:before="60" w:after="60"/>
              <w:jc w:val="center"/>
              <w:rPr>
                <w:rFonts w:ascii="楷体" w:hAnsi="楷体" w:eastAsia="楷体"/>
                <w:kern w:val="2"/>
                <w:sz w:val="18"/>
              </w:rPr>
            </w:pPr>
            <w:r>
              <w:t>23.8万</w:t>
            </w:r>
          </w:p>
        </w:tc>
        <w:tc>
          <w:tcPr>
            <w:tcW w:w="1751" w:type="dxa"/>
            <w:gridSpan w:val="2"/>
            <w:vAlign w:val="center"/>
          </w:tcPr>
          <w:p>
            <w:pPr>
              <w:pStyle w:val="350"/>
              <w:suppressAutoHyphens w:val="0"/>
              <w:adjustRightInd w:val="0"/>
              <w:snapToGrid w:val="0"/>
              <w:spacing w:before="60" w:after="60"/>
              <w:jc w:val="center"/>
              <w:rPr>
                <w:rFonts w:ascii="楷体" w:hAnsi="楷体" w:eastAsia="楷体"/>
                <w:kern w:val="2"/>
                <w:sz w:val="18"/>
              </w:rPr>
            </w:pPr>
            <w:r>
              <w:t>2016.9-2016.12</w:t>
            </w:r>
          </w:p>
        </w:tc>
        <w:tc>
          <w:tcPr>
            <w:tcW w:w="1961" w:type="dxa"/>
            <w:gridSpan w:val="2"/>
            <w:vAlign w:val="center"/>
          </w:tcPr>
          <w:p>
            <w:pPr>
              <w:pStyle w:val="350"/>
              <w:suppressAutoHyphens w:val="0"/>
              <w:adjustRightInd w:val="0"/>
              <w:snapToGrid w:val="0"/>
              <w:spacing w:before="60" w:after="60"/>
              <w:jc w:val="center"/>
              <w:rPr>
                <w:rFonts w:ascii="楷体" w:hAnsi="楷体" w:eastAsia="楷体"/>
                <w:kern w:val="2"/>
                <w:sz w:val="18"/>
              </w:rPr>
            </w:pPr>
            <w:r>
              <w:t>项目负责人</w:t>
            </w:r>
          </w:p>
        </w:tc>
        <w:tc>
          <w:tcPr>
            <w:tcW w:w="1583" w:type="dxa"/>
            <w:gridSpan w:val="2"/>
            <w:vAlign w:val="center"/>
          </w:tcPr>
          <w:p>
            <w:pPr>
              <w:pStyle w:val="350"/>
              <w:suppressAutoHyphens w:val="0"/>
              <w:adjustRightInd w:val="0"/>
              <w:snapToGrid w:val="0"/>
              <w:spacing w:before="60" w:after="60"/>
              <w:jc w:val="center"/>
              <w:rPr>
                <w:rFonts w:ascii="楷体" w:hAnsi="楷体" w:eastAsia="楷体"/>
                <w:kern w:val="2"/>
                <w:sz w:val="18"/>
              </w:rPr>
            </w:pPr>
            <w: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21"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rPr>
              <w:t>计及电力市场交易信号导向的电网规划方法研究</w:t>
            </w:r>
          </w:p>
        </w:tc>
        <w:tc>
          <w:tcPr>
            <w:tcW w:w="1707"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hint="eastAsia"/>
              </w:rPr>
              <w:t>24万</w:t>
            </w:r>
          </w:p>
        </w:tc>
        <w:tc>
          <w:tcPr>
            <w:tcW w:w="1751" w:type="dxa"/>
            <w:gridSpan w:val="2"/>
            <w:vAlign w:val="center"/>
          </w:tcPr>
          <w:p>
            <w:pPr>
              <w:pStyle w:val="350"/>
              <w:suppressAutoHyphens w:val="0"/>
              <w:adjustRightInd w:val="0"/>
              <w:snapToGrid w:val="0"/>
              <w:spacing w:before="60" w:after="60"/>
              <w:jc w:val="center"/>
              <w:rPr>
                <w:rFonts w:ascii="楷体" w:hAnsi="楷体" w:eastAsia="楷体"/>
                <w:kern w:val="2"/>
                <w:sz w:val="18"/>
              </w:rPr>
            </w:pPr>
            <w:r>
              <w:t>2019.8-2019.12</w:t>
            </w:r>
          </w:p>
        </w:tc>
        <w:tc>
          <w:tcPr>
            <w:tcW w:w="1961" w:type="dxa"/>
            <w:gridSpan w:val="2"/>
            <w:vAlign w:val="center"/>
          </w:tcPr>
          <w:p>
            <w:pPr>
              <w:pStyle w:val="350"/>
              <w:suppressAutoHyphens w:val="0"/>
              <w:adjustRightInd w:val="0"/>
              <w:snapToGrid w:val="0"/>
              <w:spacing w:before="60" w:after="60"/>
              <w:jc w:val="center"/>
              <w:rPr>
                <w:rFonts w:ascii="楷体" w:hAnsi="楷体" w:eastAsia="楷体"/>
                <w:kern w:val="2"/>
                <w:sz w:val="18"/>
              </w:rPr>
            </w:pPr>
            <w:r>
              <w:t>项目负责人</w:t>
            </w:r>
          </w:p>
        </w:tc>
        <w:tc>
          <w:tcPr>
            <w:tcW w:w="1583" w:type="dxa"/>
            <w:gridSpan w:val="2"/>
            <w:vAlign w:val="center"/>
          </w:tcPr>
          <w:p>
            <w:pPr>
              <w:pStyle w:val="350"/>
              <w:suppressAutoHyphens w:val="0"/>
              <w:adjustRightInd w:val="0"/>
              <w:snapToGrid w:val="0"/>
              <w:spacing w:before="60" w:after="60"/>
              <w:jc w:val="center"/>
              <w:rPr>
                <w:rFonts w:ascii="楷体" w:hAnsi="楷体" w:eastAsia="楷体"/>
                <w:kern w:val="2"/>
                <w:sz w:val="18"/>
              </w:rPr>
            </w:pPr>
            <w: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21" w:type="dxa"/>
            <w:vAlign w:val="center"/>
          </w:tcPr>
          <w:p>
            <w:pPr>
              <w:pStyle w:val="350"/>
              <w:suppressAutoHyphens w:val="0"/>
              <w:adjustRightInd w:val="0"/>
              <w:snapToGrid w:val="0"/>
              <w:spacing w:before="60" w:after="60"/>
              <w:jc w:val="center"/>
              <w:rPr>
                <w:rFonts w:ascii="楷体" w:hAnsi="楷体" w:eastAsia="楷体"/>
                <w:kern w:val="2"/>
                <w:sz w:val="18"/>
              </w:rPr>
            </w:pPr>
          </w:p>
        </w:tc>
        <w:tc>
          <w:tcPr>
            <w:tcW w:w="1707" w:type="dxa"/>
            <w:gridSpan w:val="2"/>
            <w:vAlign w:val="center"/>
          </w:tcPr>
          <w:p>
            <w:pPr>
              <w:pStyle w:val="350"/>
              <w:suppressAutoHyphens w:val="0"/>
              <w:adjustRightInd w:val="0"/>
              <w:snapToGrid w:val="0"/>
              <w:spacing w:before="60" w:after="60"/>
              <w:jc w:val="center"/>
              <w:rPr>
                <w:rFonts w:ascii="楷体" w:hAnsi="楷体" w:eastAsia="楷体"/>
                <w:kern w:val="2"/>
                <w:sz w:val="18"/>
              </w:rPr>
            </w:pPr>
          </w:p>
        </w:tc>
        <w:tc>
          <w:tcPr>
            <w:tcW w:w="1751" w:type="dxa"/>
            <w:gridSpan w:val="2"/>
            <w:vAlign w:val="center"/>
          </w:tcPr>
          <w:p>
            <w:pPr>
              <w:pStyle w:val="350"/>
              <w:suppressAutoHyphens w:val="0"/>
              <w:adjustRightInd w:val="0"/>
              <w:snapToGrid w:val="0"/>
              <w:spacing w:before="60" w:after="60"/>
              <w:jc w:val="center"/>
              <w:rPr>
                <w:rFonts w:ascii="楷体" w:hAnsi="楷体" w:eastAsia="楷体"/>
                <w:kern w:val="2"/>
                <w:sz w:val="18"/>
              </w:rPr>
            </w:pPr>
          </w:p>
        </w:tc>
        <w:tc>
          <w:tcPr>
            <w:tcW w:w="1961" w:type="dxa"/>
            <w:gridSpan w:val="2"/>
            <w:vAlign w:val="center"/>
          </w:tcPr>
          <w:p>
            <w:pPr>
              <w:pStyle w:val="350"/>
              <w:suppressAutoHyphens w:val="0"/>
              <w:adjustRightInd w:val="0"/>
              <w:snapToGrid w:val="0"/>
              <w:spacing w:before="60" w:after="60"/>
              <w:jc w:val="center"/>
              <w:rPr>
                <w:rFonts w:ascii="楷体" w:hAnsi="楷体" w:eastAsia="楷体"/>
                <w:kern w:val="2"/>
                <w:sz w:val="18"/>
              </w:rPr>
            </w:pPr>
          </w:p>
        </w:tc>
        <w:tc>
          <w:tcPr>
            <w:tcW w:w="1583" w:type="dxa"/>
            <w:gridSpan w:val="2"/>
            <w:vAlign w:val="center"/>
          </w:tcPr>
          <w:p>
            <w:pPr>
              <w:pStyle w:val="350"/>
              <w:suppressAutoHyphens w:val="0"/>
              <w:adjustRightInd w:val="0"/>
              <w:snapToGrid w:val="0"/>
              <w:spacing w:before="60" w:after="60"/>
              <w:jc w:val="center"/>
              <w:rPr>
                <w:rFonts w:ascii="楷体" w:hAnsi="楷体" w:eastAsia="楷体"/>
                <w:kern w:val="2"/>
                <w:sz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jc w:val="center"/>
        </w:trPr>
        <w:tc>
          <w:tcPr>
            <w:tcW w:w="1521" w:type="dxa"/>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 xml:space="preserve"> </w:t>
            </w:r>
          </w:p>
        </w:tc>
        <w:tc>
          <w:tcPr>
            <w:tcW w:w="1707"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 xml:space="preserve"> </w:t>
            </w:r>
          </w:p>
        </w:tc>
        <w:tc>
          <w:tcPr>
            <w:tcW w:w="1751"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 xml:space="preserve"> </w:t>
            </w:r>
          </w:p>
        </w:tc>
        <w:tc>
          <w:tcPr>
            <w:tcW w:w="1961"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 xml:space="preserve"> </w:t>
            </w:r>
          </w:p>
        </w:tc>
        <w:tc>
          <w:tcPr>
            <w:tcW w:w="1583" w:type="dxa"/>
            <w:gridSpan w:val="2"/>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 xml:space="preserve"> </w:t>
            </w:r>
          </w:p>
        </w:tc>
      </w:tr>
    </w:tbl>
    <w:p>
      <w:pPr>
        <w:pStyle w:val="3"/>
      </w:pPr>
    </w:p>
    <w:p>
      <w:pPr>
        <w:widowControl/>
        <w:jc w:val="left"/>
        <w:rPr>
          <w:rFonts w:ascii="Arial" w:hAnsi="Arial"/>
          <w:b/>
        </w:rPr>
      </w:pPr>
      <w:r>
        <w:br w:type="page"/>
      </w:r>
    </w:p>
    <w:p>
      <w:pPr>
        <w:pStyle w:val="3"/>
        <w:rPr>
          <w:sz w:val="24"/>
        </w:rPr>
      </w:pPr>
      <w:r>
        <w:rPr>
          <w:rFonts w:hint="eastAsia"/>
        </w:rPr>
        <w:t>8、主要咨询人员表（如有要求）</w:t>
      </w:r>
    </w:p>
    <w:p>
      <w:pPr>
        <w:pStyle w:val="350"/>
        <w:spacing w:line="400" w:lineRule="exact"/>
        <w:ind w:firstLine="420"/>
        <w:rPr>
          <w:rFonts w:ascii="楷体" w:hAnsi="楷体" w:eastAsia="楷体"/>
        </w:rPr>
      </w:pPr>
      <w:r>
        <w:rPr>
          <w:rFonts w:hint="eastAsia" w:ascii="楷体" w:hAnsi="楷体" w:eastAsia="楷体"/>
        </w:rPr>
        <w:t>主要</w:t>
      </w:r>
      <w:r>
        <w:rPr>
          <w:rFonts w:hint="eastAsia" w:ascii="楷体" w:hAnsi="楷体" w:eastAsia="楷体"/>
          <w:lang w:eastAsia="zh-CN"/>
        </w:rPr>
        <w:t>咨询（服务）</w:t>
      </w:r>
      <w:r>
        <w:rPr>
          <w:rFonts w:hint="eastAsia" w:ascii="楷体" w:hAnsi="楷体" w:eastAsia="楷体"/>
        </w:rPr>
        <w:t>人员表</w:t>
      </w:r>
      <w:r>
        <w:rPr>
          <w:rFonts w:hint="eastAsia" w:ascii="楷体" w:hAnsi="楷体" w:eastAsia="楷体"/>
          <w:lang w:eastAsia="zh-CN"/>
        </w:rPr>
        <w:t>应</w:t>
      </w:r>
      <w:r>
        <w:rPr>
          <w:rFonts w:hint="eastAsia" w:ascii="楷体" w:hAnsi="楷体" w:eastAsia="楷体"/>
        </w:rPr>
        <w:t>提供主要</w:t>
      </w:r>
      <w:r>
        <w:rPr>
          <w:rFonts w:hint="eastAsia" w:ascii="楷体" w:hAnsi="楷体" w:eastAsia="楷体"/>
          <w:lang w:eastAsia="zh-CN"/>
        </w:rPr>
        <w:t>咨询（服务）</w:t>
      </w:r>
      <w:r>
        <w:rPr>
          <w:rFonts w:hint="eastAsia" w:ascii="楷体" w:hAnsi="楷体" w:eastAsia="楷体"/>
        </w:rPr>
        <w:t>人员与</w:t>
      </w:r>
      <w:r>
        <w:rPr>
          <w:rFonts w:hint="eastAsia" w:ascii="楷体" w:hAnsi="楷体" w:eastAsia="楷体"/>
          <w:lang w:eastAsia="zh-CN"/>
        </w:rPr>
        <w:t>应答</w:t>
      </w:r>
      <w:r>
        <w:rPr>
          <w:rFonts w:hint="eastAsia" w:ascii="楷体" w:hAnsi="楷体" w:eastAsia="楷体"/>
        </w:rPr>
        <w:t>人的劳动关系证明</w:t>
      </w:r>
      <w:r>
        <w:rPr>
          <w:rFonts w:hint="eastAsia" w:ascii="楷体" w:hAnsi="楷体" w:eastAsia="楷体"/>
          <w:lang w:eastAsia="zh-CN"/>
        </w:rPr>
        <w:t>影印件。</w:t>
      </w:r>
    </w:p>
    <w:p>
      <w:pPr>
        <w:pStyle w:val="300"/>
        <w:rPr>
          <w:rFonts w:ascii="楷体" w:hAnsi="楷体" w:eastAsia="楷体"/>
        </w:rPr>
      </w:pPr>
      <w:commentRangeStart w:id="7"/>
      <w:r>
        <w:rPr>
          <w:rFonts w:ascii="楷体" w:hAnsi="楷体" w:eastAsia="楷体"/>
          <w:spacing w:val="30"/>
        </w:rPr>
        <w:t>主要</w:t>
      </w:r>
      <w:r>
        <w:rPr>
          <w:rFonts w:hint="eastAsia" w:ascii="楷体" w:hAnsi="楷体" w:eastAsia="楷体"/>
          <w:spacing w:val="30"/>
        </w:rPr>
        <w:t>咨询</w:t>
      </w:r>
      <w:r>
        <w:rPr>
          <w:rFonts w:hint="eastAsia" w:ascii="楷体" w:hAnsi="楷体" w:eastAsia="楷体"/>
        </w:rPr>
        <w:t>（服务）</w:t>
      </w:r>
      <w:r>
        <w:rPr>
          <w:rFonts w:ascii="楷体" w:hAnsi="楷体" w:eastAsia="楷体"/>
          <w:spacing w:val="30"/>
        </w:rPr>
        <w:t>人员</w:t>
      </w:r>
      <w:r>
        <w:rPr>
          <w:rFonts w:ascii="楷体" w:hAnsi="楷体" w:eastAsia="楷体"/>
        </w:rPr>
        <w:t>表</w:t>
      </w:r>
      <w:commentRangeEnd w:id="7"/>
      <w:r>
        <w:rPr>
          <w:rStyle w:val="56"/>
          <w:rFonts w:eastAsia="宋体" w:asciiTheme="minorHAnsi" w:hAnsiTheme="minorHAnsi" w:cstheme="minorBidi"/>
          <w:snapToGrid/>
          <w:szCs w:val="22"/>
        </w:rPr>
        <w:commentReference w:id="7"/>
      </w:r>
    </w:p>
    <w:tbl>
      <w:tblPr>
        <w:tblStyle w:val="49"/>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20"/>
        <w:gridCol w:w="1246"/>
        <w:gridCol w:w="1246"/>
        <w:gridCol w:w="1247"/>
        <w:gridCol w:w="396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20" w:type="dxa"/>
            <w:vAlign w:val="center"/>
          </w:tcPr>
          <w:p>
            <w:pPr>
              <w:pStyle w:val="350"/>
              <w:suppressAutoHyphens w:val="0"/>
              <w:adjustRightInd w:val="0"/>
              <w:snapToGrid w:val="0"/>
              <w:spacing w:before="62" w:after="64"/>
              <w:jc w:val="center"/>
              <w:rPr>
                <w:rFonts w:ascii="楷体" w:hAnsi="楷体" w:eastAsia="楷体"/>
                <w:kern w:val="2"/>
                <w:sz w:val="18"/>
              </w:rPr>
            </w:pPr>
            <w:r>
              <w:rPr>
                <w:rFonts w:ascii="楷体" w:hAnsi="楷体" w:eastAsia="楷体"/>
                <w:kern w:val="2"/>
                <w:sz w:val="18"/>
              </w:rPr>
              <w:t>名称</w:t>
            </w: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r>
              <w:rPr>
                <w:rFonts w:ascii="楷体" w:hAnsi="楷体" w:eastAsia="楷体"/>
                <w:kern w:val="2"/>
                <w:sz w:val="18"/>
              </w:rPr>
              <w:t>姓</w:t>
            </w:r>
            <w:r>
              <w:rPr>
                <w:rFonts w:hint="eastAsia" w:ascii="楷体" w:hAnsi="楷体" w:eastAsia="楷体"/>
                <w:kern w:val="2"/>
                <w:sz w:val="18"/>
                <w:lang w:eastAsia="zh-CN"/>
              </w:rPr>
              <w:t xml:space="preserve">    </w:t>
            </w:r>
            <w:r>
              <w:rPr>
                <w:rFonts w:ascii="楷体" w:hAnsi="楷体" w:eastAsia="楷体"/>
                <w:kern w:val="2"/>
                <w:sz w:val="18"/>
              </w:rPr>
              <w:t>名</w:t>
            </w: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r>
              <w:rPr>
                <w:rFonts w:ascii="楷体" w:hAnsi="楷体" w:eastAsia="楷体"/>
                <w:kern w:val="2"/>
                <w:sz w:val="18"/>
              </w:rPr>
              <w:t>职</w:t>
            </w:r>
            <w:r>
              <w:rPr>
                <w:rFonts w:hint="eastAsia" w:ascii="楷体" w:hAnsi="楷体" w:eastAsia="楷体"/>
                <w:kern w:val="2"/>
                <w:sz w:val="18"/>
                <w:lang w:eastAsia="zh-CN"/>
              </w:rPr>
              <w:t xml:space="preserve">    </w:t>
            </w:r>
            <w:r>
              <w:rPr>
                <w:rFonts w:ascii="楷体" w:hAnsi="楷体" w:eastAsia="楷体"/>
                <w:kern w:val="2"/>
                <w:sz w:val="18"/>
              </w:rPr>
              <w:t>务</w:t>
            </w:r>
          </w:p>
        </w:tc>
        <w:tc>
          <w:tcPr>
            <w:tcW w:w="1247" w:type="dxa"/>
            <w:vAlign w:val="center"/>
          </w:tcPr>
          <w:p>
            <w:pPr>
              <w:pStyle w:val="350"/>
              <w:suppressAutoHyphens w:val="0"/>
              <w:adjustRightInd w:val="0"/>
              <w:snapToGrid w:val="0"/>
              <w:spacing w:before="62" w:after="64"/>
              <w:jc w:val="center"/>
              <w:rPr>
                <w:rFonts w:ascii="楷体" w:hAnsi="楷体" w:eastAsia="楷体"/>
                <w:kern w:val="2"/>
                <w:sz w:val="18"/>
              </w:rPr>
            </w:pPr>
            <w:r>
              <w:rPr>
                <w:rFonts w:ascii="楷体" w:hAnsi="楷体" w:eastAsia="楷体"/>
                <w:kern w:val="2"/>
                <w:sz w:val="18"/>
              </w:rPr>
              <w:t>职</w:t>
            </w:r>
            <w:r>
              <w:rPr>
                <w:rFonts w:hint="eastAsia" w:ascii="楷体" w:hAnsi="楷体" w:eastAsia="楷体"/>
                <w:kern w:val="2"/>
                <w:sz w:val="18"/>
                <w:lang w:eastAsia="zh-CN"/>
              </w:rPr>
              <w:t xml:space="preserve">    </w:t>
            </w:r>
            <w:r>
              <w:rPr>
                <w:rFonts w:ascii="楷体" w:hAnsi="楷体" w:eastAsia="楷体"/>
                <w:kern w:val="2"/>
                <w:sz w:val="18"/>
              </w:rPr>
              <w:t>称</w:t>
            </w:r>
          </w:p>
        </w:tc>
        <w:tc>
          <w:tcPr>
            <w:tcW w:w="3963" w:type="dxa"/>
            <w:vAlign w:val="center"/>
          </w:tcPr>
          <w:p>
            <w:pPr>
              <w:pStyle w:val="350"/>
              <w:suppressAutoHyphens w:val="0"/>
              <w:adjustRightInd w:val="0"/>
              <w:snapToGrid w:val="0"/>
              <w:spacing w:before="62" w:after="64"/>
              <w:jc w:val="center"/>
              <w:rPr>
                <w:rFonts w:ascii="楷体" w:hAnsi="楷体" w:eastAsia="楷体"/>
                <w:kern w:val="2"/>
                <w:sz w:val="18"/>
              </w:rPr>
            </w:pPr>
            <w:r>
              <w:rPr>
                <w:rFonts w:ascii="楷体" w:hAnsi="楷体" w:eastAsia="楷体"/>
                <w:kern w:val="2"/>
                <w:sz w:val="18"/>
              </w:rPr>
              <w:t>主要资历、经验及承担过的项目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20" w:type="dxa"/>
            <w:vMerge w:val="restart"/>
            <w:vAlign w:val="center"/>
          </w:tcPr>
          <w:p>
            <w:pPr>
              <w:pStyle w:val="350"/>
              <w:suppressAutoHyphens w:val="0"/>
              <w:adjustRightInd w:val="0"/>
              <w:snapToGrid w:val="0"/>
              <w:spacing w:before="62" w:after="64"/>
              <w:jc w:val="center"/>
              <w:rPr>
                <w:rFonts w:ascii="楷体" w:hAnsi="楷体" w:eastAsia="楷体"/>
                <w:kern w:val="2"/>
                <w:sz w:val="18"/>
              </w:rPr>
            </w:pPr>
            <w:r>
              <w:rPr>
                <w:rFonts w:ascii="楷体" w:hAnsi="楷体" w:eastAsia="楷体"/>
                <w:kern w:val="2"/>
                <w:sz w:val="18"/>
              </w:rPr>
              <w:t>各</w:t>
            </w:r>
          </w:p>
          <w:p>
            <w:pPr>
              <w:pStyle w:val="350"/>
              <w:suppressAutoHyphens w:val="0"/>
              <w:adjustRightInd w:val="0"/>
              <w:snapToGrid w:val="0"/>
              <w:spacing w:before="62" w:after="64"/>
              <w:jc w:val="center"/>
              <w:rPr>
                <w:rFonts w:ascii="楷体" w:hAnsi="楷体" w:eastAsia="楷体"/>
                <w:kern w:val="2"/>
                <w:sz w:val="18"/>
              </w:rPr>
            </w:pPr>
            <w:r>
              <w:rPr>
                <w:rFonts w:ascii="楷体" w:hAnsi="楷体" w:eastAsia="楷体"/>
                <w:kern w:val="2"/>
                <w:sz w:val="18"/>
              </w:rPr>
              <w:t>专</w:t>
            </w:r>
          </w:p>
          <w:p>
            <w:pPr>
              <w:pStyle w:val="350"/>
              <w:suppressAutoHyphens w:val="0"/>
              <w:adjustRightInd w:val="0"/>
              <w:snapToGrid w:val="0"/>
              <w:spacing w:before="62" w:after="64"/>
              <w:jc w:val="center"/>
              <w:rPr>
                <w:rFonts w:ascii="楷体" w:hAnsi="楷体" w:eastAsia="楷体"/>
                <w:kern w:val="2"/>
                <w:sz w:val="18"/>
              </w:rPr>
            </w:pPr>
            <w:r>
              <w:rPr>
                <w:rFonts w:ascii="楷体" w:hAnsi="楷体" w:eastAsia="楷体"/>
                <w:kern w:val="2"/>
                <w:sz w:val="18"/>
              </w:rPr>
              <w:t>业</w:t>
            </w:r>
          </w:p>
          <w:p>
            <w:pPr>
              <w:pStyle w:val="350"/>
              <w:suppressAutoHyphens w:val="0"/>
              <w:adjustRightInd w:val="0"/>
              <w:snapToGrid w:val="0"/>
              <w:spacing w:before="62" w:after="64"/>
              <w:jc w:val="center"/>
              <w:rPr>
                <w:rFonts w:ascii="楷体" w:hAnsi="楷体" w:eastAsia="楷体"/>
                <w:kern w:val="2"/>
                <w:sz w:val="18"/>
                <w:lang w:eastAsia="zh-CN"/>
              </w:rPr>
            </w:pPr>
            <w:r>
              <w:rPr>
                <w:rFonts w:hint="eastAsia" w:ascii="楷体" w:hAnsi="楷体" w:eastAsia="楷体"/>
                <w:kern w:val="2"/>
                <w:sz w:val="18"/>
                <w:lang w:eastAsia="zh-CN"/>
              </w:rPr>
              <w:t>负</w:t>
            </w:r>
          </w:p>
          <w:p>
            <w:pPr>
              <w:pStyle w:val="350"/>
              <w:suppressAutoHyphens w:val="0"/>
              <w:adjustRightInd w:val="0"/>
              <w:snapToGrid w:val="0"/>
              <w:spacing w:before="62" w:after="64"/>
              <w:jc w:val="center"/>
              <w:rPr>
                <w:rFonts w:ascii="楷体" w:hAnsi="楷体" w:eastAsia="楷体"/>
                <w:kern w:val="2"/>
                <w:sz w:val="18"/>
              </w:rPr>
            </w:pPr>
            <w:r>
              <w:rPr>
                <w:rFonts w:hint="eastAsia" w:ascii="楷体" w:hAnsi="楷体" w:eastAsia="楷体"/>
                <w:kern w:val="2"/>
                <w:sz w:val="18"/>
                <w:lang w:eastAsia="zh-CN"/>
              </w:rPr>
              <w:t>责</w:t>
            </w:r>
          </w:p>
          <w:p>
            <w:pPr>
              <w:pStyle w:val="350"/>
              <w:suppressAutoHyphens w:val="0"/>
              <w:adjustRightInd w:val="0"/>
              <w:snapToGrid w:val="0"/>
              <w:spacing w:before="62" w:after="64"/>
              <w:jc w:val="center"/>
              <w:rPr>
                <w:rFonts w:ascii="楷体" w:hAnsi="楷体" w:eastAsia="楷体"/>
                <w:kern w:val="2"/>
                <w:sz w:val="18"/>
              </w:rPr>
            </w:pPr>
            <w:r>
              <w:rPr>
                <w:rFonts w:ascii="楷体" w:hAnsi="楷体" w:eastAsia="楷体"/>
                <w:kern w:val="2"/>
                <w:sz w:val="18"/>
              </w:rPr>
              <w:t>人</w:t>
            </w: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r>
              <w:rPr>
                <w:rFonts w:hint="eastAsia" w:ascii="楷体" w:hAnsi="楷体" w:eastAsia="楷体"/>
                <w:kern w:val="2"/>
                <w:sz w:val="18"/>
              </w:rPr>
              <w:t>吕林</w:t>
            </w: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r>
              <w:rPr>
                <w:rFonts w:hint="eastAsia" w:ascii="楷体" w:hAnsi="楷体" w:eastAsia="楷体"/>
                <w:kern w:val="2"/>
                <w:sz w:val="18"/>
              </w:rPr>
              <w:t>研究生导师</w:t>
            </w:r>
          </w:p>
        </w:tc>
        <w:tc>
          <w:tcPr>
            <w:tcW w:w="1247" w:type="dxa"/>
            <w:vAlign w:val="center"/>
          </w:tcPr>
          <w:p>
            <w:pPr>
              <w:pStyle w:val="350"/>
              <w:suppressAutoHyphens w:val="0"/>
              <w:adjustRightInd w:val="0"/>
              <w:snapToGrid w:val="0"/>
              <w:spacing w:before="62" w:after="64"/>
              <w:jc w:val="center"/>
              <w:rPr>
                <w:rFonts w:ascii="楷体" w:hAnsi="楷体" w:eastAsia="楷体"/>
                <w:kern w:val="2"/>
                <w:sz w:val="18"/>
              </w:rPr>
            </w:pPr>
            <w:r>
              <w:rPr>
                <w:rFonts w:hint="eastAsia" w:ascii="楷体" w:hAnsi="楷体" w:eastAsia="楷体"/>
                <w:kern w:val="2"/>
                <w:sz w:val="18"/>
              </w:rPr>
              <w:t>教授</w:t>
            </w:r>
          </w:p>
        </w:tc>
        <w:tc>
          <w:tcPr>
            <w:tcW w:w="3963" w:type="dxa"/>
            <w:vAlign w:val="center"/>
          </w:tcPr>
          <w:p>
            <w:pPr>
              <w:pStyle w:val="350"/>
              <w:suppressAutoHyphens w:val="0"/>
              <w:adjustRightInd w:val="0"/>
              <w:snapToGrid w:val="0"/>
              <w:spacing w:before="62" w:after="64"/>
              <w:jc w:val="center"/>
              <w:rPr>
                <w:rFonts w:ascii="楷体" w:hAnsi="楷体" w:eastAsia="楷体"/>
                <w:kern w:val="2"/>
                <w:sz w:val="18"/>
              </w:rPr>
            </w:pPr>
            <w:r>
              <w:rPr>
                <w:rFonts w:hint="eastAsia" w:ascii="楷体" w:hAnsi="楷体" w:eastAsia="楷体"/>
                <w:kern w:val="2"/>
                <w:sz w:val="18"/>
              </w:rPr>
              <w:t>从事电力系统分析与控制研究。作为项目负责人主持省科技厅、四川省电力公司等纵向、横向项目20余项，到校经费300余万元。发表文章100余篇，其中SCI/EI检索40余篇。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20" w:type="dxa"/>
            <w:vMerge w:val="continue"/>
            <w:vAlign w:val="center"/>
          </w:tcPr>
          <w:p>
            <w:pPr>
              <w:pStyle w:val="87"/>
              <w:adjustRightInd w:val="0"/>
              <w:snapToGrid w:val="0"/>
              <w:spacing w:before="62" w:after="64"/>
              <w:jc w:val="center"/>
              <w:rPr>
                <w:rFonts w:ascii="楷体" w:hAnsi="楷体" w:eastAsia="楷体"/>
                <w:sz w:val="18"/>
              </w:rPr>
            </w:pP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r>
              <w:rPr>
                <w:rFonts w:hint="eastAsia" w:ascii="楷体" w:hAnsi="楷体" w:eastAsia="楷体"/>
                <w:kern w:val="2"/>
                <w:sz w:val="18"/>
              </w:rPr>
              <w:t>向月</w:t>
            </w: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r>
              <w:rPr>
                <w:rFonts w:hint="eastAsia" w:ascii="楷体" w:hAnsi="楷体" w:eastAsia="楷体"/>
                <w:kern w:val="2"/>
                <w:sz w:val="18"/>
              </w:rPr>
              <w:t>研究生导师</w:t>
            </w:r>
          </w:p>
        </w:tc>
        <w:tc>
          <w:tcPr>
            <w:tcW w:w="1247" w:type="dxa"/>
            <w:vAlign w:val="center"/>
          </w:tcPr>
          <w:p>
            <w:pPr>
              <w:pStyle w:val="350"/>
              <w:suppressAutoHyphens w:val="0"/>
              <w:adjustRightInd w:val="0"/>
              <w:snapToGrid w:val="0"/>
              <w:spacing w:before="62" w:after="64"/>
              <w:jc w:val="center"/>
              <w:rPr>
                <w:rFonts w:ascii="楷体" w:hAnsi="楷体" w:eastAsia="楷体"/>
                <w:kern w:val="2"/>
                <w:sz w:val="18"/>
              </w:rPr>
            </w:pPr>
            <w:r>
              <w:rPr>
                <w:rFonts w:hint="eastAsia" w:ascii="楷体" w:hAnsi="楷体" w:eastAsia="楷体"/>
                <w:kern w:val="2"/>
                <w:sz w:val="18"/>
              </w:rPr>
              <w:t>副教授</w:t>
            </w:r>
          </w:p>
        </w:tc>
        <w:tc>
          <w:tcPr>
            <w:tcW w:w="3963" w:type="dxa"/>
            <w:vAlign w:val="center"/>
          </w:tcPr>
          <w:p>
            <w:pPr>
              <w:pStyle w:val="350"/>
              <w:suppressAutoHyphens w:val="0"/>
              <w:adjustRightInd w:val="0"/>
              <w:snapToGrid w:val="0"/>
              <w:spacing w:before="62" w:after="64"/>
              <w:jc w:val="center"/>
              <w:rPr>
                <w:rFonts w:ascii="楷体" w:hAnsi="楷体" w:eastAsia="楷体"/>
                <w:kern w:val="2"/>
                <w:sz w:val="18"/>
              </w:rPr>
            </w:pPr>
            <w:r>
              <w:rPr>
                <w:rFonts w:hint="eastAsia" w:ascii="楷体" w:hAnsi="楷体" w:eastAsia="楷体"/>
                <w:kern w:val="2"/>
                <w:sz w:val="18"/>
                <w:lang w:eastAsia="zh-CN"/>
              </w:rPr>
              <w:t>从事电力系统传感与监测研究，</w:t>
            </w:r>
            <w:r>
              <w:rPr>
                <w:rFonts w:hint="eastAsia" w:ascii="楷体" w:hAnsi="楷体" w:eastAsia="楷体"/>
                <w:kern w:val="2"/>
                <w:sz w:val="18"/>
              </w:rPr>
              <w:t>作为主要人员参与了“主动配电网关键技术研究及示范（福建）”等众多项目。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20" w:type="dxa"/>
            <w:vMerge w:val="continue"/>
            <w:vAlign w:val="center"/>
          </w:tcPr>
          <w:p>
            <w:pPr>
              <w:pStyle w:val="87"/>
              <w:adjustRightInd w:val="0"/>
              <w:snapToGrid w:val="0"/>
              <w:spacing w:before="62" w:after="64"/>
              <w:jc w:val="center"/>
              <w:rPr>
                <w:rFonts w:ascii="楷体" w:hAnsi="楷体" w:eastAsia="楷体"/>
                <w:sz w:val="18"/>
              </w:rPr>
            </w:pP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r>
              <w:rPr>
                <w:rFonts w:hint="eastAsia" w:ascii="楷体" w:hAnsi="楷体" w:eastAsia="楷体"/>
                <w:kern w:val="2"/>
                <w:sz w:val="18"/>
              </w:rPr>
              <w:t>高红均</w:t>
            </w: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r>
              <w:rPr>
                <w:rFonts w:hint="eastAsia" w:ascii="楷体" w:hAnsi="楷体" w:eastAsia="楷体"/>
                <w:kern w:val="2"/>
                <w:sz w:val="18"/>
              </w:rPr>
              <w:t>研究生导师</w:t>
            </w:r>
          </w:p>
        </w:tc>
        <w:tc>
          <w:tcPr>
            <w:tcW w:w="1247" w:type="dxa"/>
            <w:vAlign w:val="center"/>
          </w:tcPr>
          <w:p>
            <w:pPr>
              <w:pStyle w:val="350"/>
              <w:suppressAutoHyphens w:val="0"/>
              <w:adjustRightInd w:val="0"/>
              <w:snapToGrid w:val="0"/>
              <w:spacing w:before="62" w:after="64"/>
              <w:jc w:val="center"/>
              <w:rPr>
                <w:rFonts w:ascii="楷体" w:hAnsi="楷体" w:eastAsia="楷体"/>
                <w:kern w:val="2"/>
                <w:sz w:val="18"/>
              </w:rPr>
            </w:pPr>
            <w:r>
              <w:rPr>
                <w:rFonts w:hint="eastAsia" w:ascii="楷体" w:hAnsi="楷体" w:eastAsia="楷体"/>
                <w:kern w:val="2"/>
                <w:sz w:val="18"/>
              </w:rPr>
              <w:t>特聘副研究员</w:t>
            </w:r>
          </w:p>
        </w:tc>
        <w:tc>
          <w:tcPr>
            <w:tcW w:w="3963" w:type="dxa"/>
            <w:vAlign w:val="center"/>
          </w:tcPr>
          <w:p>
            <w:pPr>
              <w:pStyle w:val="350"/>
              <w:suppressAutoHyphens w:val="0"/>
              <w:adjustRightInd w:val="0"/>
              <w:snapToGrid w:val="0"/>
              <w:spacing w:before="62" w:after="64"/>
              <w:jc w:val="center"/>
              <w:rPr>
                <w:rFonts w:ascii="楷体" w:hAnsi="楷体" w:eastAsia="楷体"/>
                <w:kern w:val="2"/>
                <w:sz w:val="18"/>
              </w:rPr>
            </w:pPr>
            <w:r>
              <w:rPr>
                <w:rFonts w:hint="eastAsia" w:ascii="楷体" w:hAnsi="楷体" w:eastAsia="楷体"/>
                <w:kern w:val="2"/>
                <w:sz w:val="18"/>
              </w:rPr>
              <w:t>从事智能配电网</w:t>
            </w:r>
            <w:r>
              <w:rPr>
                <w:rFonts w:hint="eastAsia" w:ascii="楷体" w:hAnsi="楷体" w:eastAsia="楷体"/>
                <w:kern w:val="2"/>
                <w:sz w:val="18"/>
                <w:lang w:eastAsia="zh-CN"/>
              </w:rPr>
              <w:t>及其智能设备关键技术</w:t>
            </w:r>
            <w:r>
              <w:rPr>
                <w:rFonts w:hint="eastAsia" w:ascii="楷体" w:hAnsi="楷体" w:eastAsia="楷体"/>
                <w:kern w:val="2"/>
                <w:sz w:val="18"/>
              </w:rPr>
              <w:t>研究。作为负责人承担“主动配电网大规模不确定性最优潮流基础理论及其规划运行应用研究”等项目。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20" w:type="dxa"/>
            <w:vMerge w:val="continue"/>
            <w:vAlign w:val="center"/>
          </w:tcPr>
          <w:p>
            <w:pPr>
              <w:pStyle w:val="87"/>
              <w:adjustRightInd w:val="0"/>
              <w:snapToGrid w:val="0"/>
              <w:spacing w:before="62" w:after="64"/>
              <w:jc w:val="center"/>
              <w:rPr>
                <w:rFonts w:ascii="楷体" w:hAnsi="楷体" w:eastAsia="楷体"/>
                <w:sz w:val="18"/>
              </w:rPr>
            </w:pP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1247"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3963" w:type="dxa"/>
            <w:vAlign w:val="center"/>
          </w:tcPr>
          <w:p>
            <w:pPr>
              <w:pStyle w:val="350"/>
              <w:suppressAutoHyphens w:val="0"/>
              <w:adjustRightInd w:val="0"/>
              <w:snapToGrid w:val="0"/>
              <w:spacing w:before="62" w:after="64"/>
              <w:jc w:val="center"/>
              <w:rPr>
                <w:rFonts w:ascii="楷体" w:hAnsi="楷体" w:eastAsia="楷体"/>
                <w:kern w:val="2"/>
                <w:sz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20" w:type="dxa"/>
            <w:vMerge w:val="continue"/>
            <w:vAlign w:val="center"/>
          </w:tcPr>
          <w:p>
            <w:pPr>
              <w:pStyle w:val="87"/>
              <w:adjustRightInd w:val="0"/>
              <w:snapToGrid w:val="0"/>
              <w:spacing w:before="62" w:after="64"/>
              <w:jc w:val="center"/>
              <w:rPr>
                <w:rFonts w:ascii="楷体" w:hAnsi="楷体" w:eastAsia="楷体"/>
                <w:sz w:val="18"/>
              </w:rPr>
            </w:pP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1247"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3963" w:type="dxa"/>
            <w:vAlign w:val="center"/>
          </w:tcPr>
          <w:p>
            <w:pPr>
              <w:pStyle w:val="350"/>
              <w:suppressAutoHyphens w:val="0"/>
              <w:adjustRightInd w:val="0"/>
              <w:snapToGrid w:val="0"/>
              <w:spacing w:before="62" w:after="64"/>
              <w:jc w:val="center"/>
              <w:rPr>
                <w:rFonts w:ascii="楷体" w:hAnsi="楷体" w:eastAsia="楷体"/>
                <w:kern w:val="2"/>
                <w:sz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20" w:type="dxa"/>
            <w:vMerge w:val="continue"/>
            <w:vAlign w:val="center"/>
          </w:tcPr>
          <w:p>
            <w:pPr>
              <w:pStyle w:val="87"/>
              <w:adjustRightInd w:val="0"/>
              <w:snapToGrid w:val="0"/>
              <w:spacing w:before="62" w:after="64"/>
              <w:jc w:val="center"/>
              <w:rPr>
                <w:rFonts w:ascii="楷体" w:hAnsi="楷体" w:eastAsia="楷体"/>
                <w:sz w:val="18"/>
              </w:rPr>
            </w:pP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1247"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3963" w:type="dxa"/>
            <w:vAlign w:val="center"/>
          </w:tcPr>
          <w:p>
            <w:pPr>
              <w:pStyle w:val="350"/>
              <w:suppressAutoHyphens w:val="0"/>
              <w:adjustRightInd w:val="0"/>
              <w:snapToGrid w:val="0"/>
              <w:spacing w:before="62" w:after="64"/>
              <w:jc w:val="center"/>
              <w:rPr>
                <w:rFonts w:ascii="楷体" w:hAnsi="楷体" w:eastAsia="楷体"/>
                <w:kern w:val="2"/>
                <w:sz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20" w:type="dxa"/>
            <w:vMerge w:val="continue"/>
            <w:vAlign w:val="center"/>
          </w:tcPr>
          <w:p>
            <w:pPr>
              <w:pStyle w:val="87"/>
              <w:adjustRightInd w:val="0"/>
              <w:snapToGrid w:val="0"/>
              <w:spacing w:before="62" w:after="64"/>
              <w:jc w:val="center"/>
              <w:rPr>
                <w:rFonts w:ascii="楷体" w:hAnsi="楷体" w:eastAsia="楷体"/>
                <w:sz w:val="18"/>
              </w:rPr>
            </w:pP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1247"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3963" w:type="dxa"/>
            <w:vAlign w:val="center"/>
          </w:tcPr>
          <w:p>
            <w:pPr>
              <w:pStyle w:val="350"/>
              <w:suppressAutoHyphens w:val="0"/>
              <w:adjustRightInd w:val="0"/>
              <w:snapToGrid w:val="0"/>
              <w:spacing w:before="62" w:after="64"/>
              <w:jc w:val="center"/>
              <w:rPr>
                <w:rFonts w:ascii="楷体" w:hAnsi="楷体" w:eastAsia="楷体"/>
                <w:kern w:val="2"/>
                <w:sz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20" w:type="dxa"/>
            <w:vMerge w:val="continue"/>
            <w:vAlign w:val="center"/>
          </w:tcPr>
          <w:p>
            <w:pPr>
              <w:pStyle w:val="87"/>
              <w:adjustRightInd w:val="0"/>
              <w:snapToGrid w:val="0"/>
              <w:spacing w:before="62" w:after="64"/>
              <w:jc w:val="center"/>
              <w:rPr>
                <w:rFonts w:ascii="楷体" w:hAnsi="楷体" w:eastAsia="楷体"/>
                <w:sz w:val="18"/>
              </w:rPr>
            </w:pP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1246"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1247" w:type="dxa"/>
            <w:vAlign w:val="center"/>
          </w:tcPr>
          <w:p>
            <w:pPr>
              <w:pStyle w:val="350"/>
              <w:suppressAutoHyphens w:val="0"/>
              <w:adjustRightInd w:val="0"/>
              <w:snapToGrid w:val="0"/>
              <w:spacing w:before="62" w:after="64"/>
              <w:jc w:val="center"/>
              <w:rPr>
                <w:rFonts w:ascii="楷体" w:hAnsi="楷体" w:eastAsia="楷体"/>
                <w:kern w:val="2"/>
                <w:sz w:val="18"/>
              </w:rPr>
            </w:pPr>
          </w:p>
        </w:tc>
        <w:tc>
          <w:tcPr>
            <w:tcW w:w="3963" w:type="dxa"/>
            <w:vAlign w:val="center"/>
          </w:tcPr>
          <w:p>
            <w:pPr>
              <w:pStyle w:val="350"/>
              <w:suppressAutoHyphens w:val="0"/>
              <w:adjustRightInd w:val="0"/>
              <w:snapToGrid w:val="0"/>
              <w:spacing w:before="62" w:after="64"/>
              <w:jc w:val="center"/>
              <w:rPr>
                <w:rFonts w:ascii="楷体" w:hAnsi="楷体" w:eastAsia="楷体"/>
                <w:kern w:val="2"/>
                <w:sz w:val="18"/>
              </w:rPr>
            </w:pPr>
          </w:p>
        </w:tc>
      </w:tr>
    </w:tbl>
    <w:p/>
    <w:p>
      <w:pPr>
        <w:widowControl/>
        <w:jc w:val="left"/>
        <w:rPr>
          <w:rFonts w:ascii="Arial" w:hAnsi="Arial"/>
          <w:b/>
        </w:rPr>
      </w:pPr>
      <w:r>
        <w:br w:type="page"/>
      </w:r>
    </w:p>
    <w:p>
      <w:pPr>
        <w:pStyle w:val="3"/>
        <w:rPr>
          <w:sz w:val="24"/>
        </w:rPr>
      </w:pPr>
      <w:r>
        <w:rPr>
          <w:rFonts w:hint="eastAsia"/>
        </w:rPr>
        <w:t>9、拟投入技术骨干概况（如有要求）</w:t>
      </w:r>
    </w:p>
    <w:p>
      <w:pPr>
        <w:spacing w:line="400" w:lineRule="exact"/>
        <w:ind w:firstLine="420" w:firstLineChars="200"/>
        <w:rPr>
          <w:rFonts w:ascii="楷体" w:hAnsi="楷体"/>
          <w:sz w:val="24"/>
        </w:rPr>
      </w:pPr>
      <w:r>
        <w:rPr>
          <w:rFonts w:hint="eastAsia" w:ascii="楷体" w:hAnsi="楷体"/>
        </w:rPr>
        <w:t>应附身份证、职称证、学历证、养老保险影印件。</w:t>
      </w:r>
    </w:p>
    <w:p>
      <w:pPr>
        <w:pStyle w:val="271"/>
        <w:rPr>
          <w:rFonts w:ascii="楷体" w:hAnsi="楷体" w:eastAsia="楷体"/>
        </w:rPr>
      </w:pPr>
      <w:r>
        <w:rPr>
          <w:rFonts w:ascii="楷体" w:hAnsi="楷体" w:eastAsia="楷体"/>
        </w:rPr>
        <w:t>拟投入技术骨干概况</w:t>
      </w:r>
    </w:p>
    <w:tbl>
      <w:tblPr>
        <w:tblStyle w:val="49"/>
        <w:tblW w:w="0" w:type="auto"/>
        <w:jc w:val="center"/>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9"/>
        <w:gridCol w:w="2133"/>
        <w:gridCol w:w="859"/>
        <w:gridCol w:w="1512"/>
        <w:gridCol w:w="3169"/>
      </w:tblGrid>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9" w:type="dxa"/>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姓名</w:t>
            </w:r>
          </w:p>
        </w:tc>
        <w:tc>
          <w:tcPr>
            <w:tcW w:w="2133" w:type="dxa"/>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职务及职称</w:t>
            </w:r>
          </w:p>
        </w:tc>
        <w:tc>
          <w:tcPr>
            <w:tcW w:w="859" w:type="dxa"/>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年龄</w:t>
            </w:r>
          </w:p>
        </w:tc>
        <w:tc>
          <w:tcPr>
            <w:tcW w:w="1512" w:type="dxa"/>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专</w:t>
            </w:r>
            <w:r>
              <w:rPr>
                <w:rFonts w:hint="eastAsia" w:ascii="楷体" w:hAnsi="楷体" w:eastAsia="楷体"/>
                <w:kern w:val="2"/>
                <w:sz w:val="18"/>
                <w:lang w:eastAsia="zh-CN"/>
              </w:rPr>
              <w:t xml:space="preserve">    </w:t>
            </w:r>
            <w:r>
              <w:rPr>
                <w:rFonts w:ascii="楷体" w:hAnsi="楷体" w:eastAsia="楷体"/>
                <w:kern w:val="2"/>
                <w:sz w:val="18"/>
              </w:rPr>
              <w:t>业</w:t>
            </w:r>
          </w:p>
        </w:tc>
        <w:tc>
          <w:tcPr>
            <w:tcW w:w="3169" w:type="dxa"/>
            <w:vAlign w:val="center"/>
          </w:tcPr>
          <w:p>
            <w:pPr>
              <w:pStyle w:val="350"/>
              <w:suppressAutoHyphens w:val="0"/>
              <w:adjustRightInd w:val="0"/>
              <w:snapToGrid w:val="0"/>
              <w:spacing w:before="60" w:after="60"/>
              <w:jc w:val="center"/>
              <w:rPr>
                <w:rFonts w:ascii="楷体" w:hAnsi="楷体" w:eastAsia="楷体"/>
                <w:kern w:val="2"/>
                <w:sz w:val="18"/>
              </w:rPr>
            </w:pPr>
            <w:r>
              <w:rPr>
                <w:rFonts w:ascii="楷体" w:hAnsi="楷体" w:eastAsia="楷体"/>
                <w:kern w:val="2"/>
                <w:sz w:val="18"/>
              </w:rPr>
              <w:t>从事</w:t>
            </w:r>
            <w:r>
              <w:rPr>
                <w:rFonts w:hint="eastAsia" w:ascii="楷体" w:hAnsi="楷体" w:eastAsia="楷体"/>
                <w:kern w:val="2"/>
                <w:sz w:val="18"/>
                <w:lang w:eastAsia="zh-CN"/>
              </w:rPr>
              <w:t>同类咨询与技术服务</w:t>
            </w:r>
            <w:r>
              <w:rPr>
                <w:rFonts w:ascii="楷体" w:hAnsi="楷体" w:eastAsia="楷体"/>
                <w:kern w:val="2"/>
                <w:sz w:val="18"/>
              </w:rPr>
              <w:t>工作的</w:t>
            </w:r>
            <w:r>
              <w:rPr>
                <w:rFonts w:hint="eastAsia" w:ascii="楷体" w:hAnsi="楷体" w:eastAsia="楷体"/>
                <w:kern w:val="2"/>
                <w:sz w:val="18"/>
                <w:lang w:eastAsia="zh-CN"/>
              </w:rPr>
              <w:t>年限</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9"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szCs w:val="21"/>
              </w:rPr>
              <w:t>刘友波</w:t>
            </w:r>
          </w:p>
        </w:tc>
        <w:tc>
          <w:tcPr>
            <w:tcW w:w="2133"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szCs w:val="21"/>
              </w:rPr>
              <w:t>副教授</w:t>
            </w:r>
          </w:p>
        </w:tc>
        <w:tc>
          <w:tcPr>
            <w:tcW w:w="859"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kern w:val="2"/>
                <w:sz w:val="20"/>
                <w:szCs w:val="21"/>
              </w:rPr>
              <w:t>3</w:t>
            </w:r>
            <w:r>
              <w:rPr>
                <w:kern w:val="2"/>
                <w:sz w:val="20"/>
                <w:szCs w:val="21"/>
              </w:rPr>
              <w:t>7</w:t>
            </w:r>
          </w:p>
        </w:tc>
        <w:tc>
          <w:tcPr>
            <w:tcW w:w="1512"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szCs w:val="21"/>
              </w:rPr>
              <w:t>电力系统及其自动化</w:t>
            </w:r>
          </w:p>
        </w:tc>
        <w:tc>
          <w:tcPr>
            <w:tcW w:w="3169"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kern w:val="2"/>
                <w:sz w:val="20"/>
                <w:szCs w:val="21"/>
              </w:rPr>
              <w:t>10</w:t>
            </w:r>
            <w:r>
              <w:rPr>
                <w:rFonts w:hint="eastAsia"/>
                <w:kern w:val="2"/>
                <w:sz w:val="20"/>
                <w:szCs w:val="21"/>
                <w:lang w:eastAsia="zh-CN"/>
              </w:rPr>
              <w:t>年</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9"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szCs w:val="21"/>
              </w:rPr>
              <w:t>刘俊勇</w:t>
            </w:r>
          </w:p>
        </w:tc>
        <w:tc>
          <w:tcPr>
            <w:tcW w:w="2133"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szCs w:val="21"/>
              </w:rPr>
              <w:t>教授</w:t>
            </w:r>
          </w:p>
        </w:tc>
        <w:tc>
          <w:tcPr>
            <w:tcW w:w="859"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kern w:val="2"/>
                <w:sz w:val="20"/>
                <w:szCs w:val="21"/>
              </w:rPr>
              <w:t>5</w:t>
            </w:r>
            <w:r>
              <w:rPr>
                <w:kern w:val="2"/>
                <w:sz w:val="20"/>
                <w:szCs w:val="21"/>
              </w:rPr>
              <w:t>7</w:t>
            </w:r>
          </w:p>
        </w:tc>
        <w:tc>
          <w:tcPr>
            <w:tcW w:w="1512"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szCs w:val="21"/>
              </w:rPr>
              <w:t>电力系统及其自动化</w:t>
            </w:r>
          </w:p>
        </w:tc>
        <w:tc>
          <w:tcPr>
            <w:tcW w:w="3169"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kern w:val="2"/>
                <w:sz w:val="20"/>
                <w:szCs w:val="21"/>
              </w:rPr>
              <w:t>20</w:t>
            </w:r>
            <w:r>
              <w:rPr>
                <w:rFonts w:hint="eastAsia"/>
                <w:kern w:val="2"/>
                <w:sz w:val="20"/>
                <w:szCs w:val="21"/>
                <w:lang w:eastAsia="zh-CN"/>
              </w:rPr>
              <w:t>年</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9"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szCs w:val="21"/>
              </w:rPr>
              <w:t>沈晓东</w:t>
            </w:r>
          </w:p>
        </w:tc>
        <w:tc>
          <w:tcPr>
            <w:tcW w:w="2133"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szCs w:val="21"/>
              </w:rPr>
              <w:t>副教授</w:t>
            </w:r>
          </w:p>
        </w:tc>
        <w:tc>
          <w:tcPr>
            <w:tcW w:w="859" w:type="dxa"/>
            <w:vAlign w:val="center"/>
          </w:tcPr>
          <w:p>
            <w:pPr>
              <w:pStyle w:val="350"/>
              <w:suppressAutoHyphens w:val="0"/>
              <w:adjustRightInd w:val="0"/>
              <w:snapToGrid w:val="0"/>
              <w:spacing w:before="60" w:after="60"/>
              <w:jc w:val="center"/>
              <w:rPr>
                <w:rFonts w:ascii="楷体" w:hAnsi="楷体" w:eastAsia="楷体"/>
                <w:kern w:val="2"/>
                <w:sz w:val="18"/>
              </w:rPr>
            </w:pPr>
            <w:r>
              <w:rPr>
                <w:kern w:val="2"/>
                <w:sz w:val="20"/>
                <w:szCs w:val="21"/>
              </w:rPr>
              <w:t>45</w:t>
            </w:r>
          </w:p>
        </w:tc>
        <w:tc>
          <w:tcPr>
            <w:tcW w:w="1512"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szCs w:val="21"/>
              </w:rPr>
              <w:t>电力系统及其自动化</w:t>
            </w:r>
          </w:p>
        </w:tc>
        <w:tc>
          <w:tcPr>
            <w:tcW w:w="3169" w:type="dxa"/>
            <w:vAlign w:val="center"/>
          </w:tcPr>
          <w:p>
            <w:pPr>
              <w:pStyle w:val="350"/>
              <w:suppressAutoHyphens w:val="0"/>
              <w:adjustRightInd w:val="0"/>
              <w:snapToGrid w:val="0"/>
              <w:spacing w:before="60" w:after="60"/>
              <w:jc w:val="center"/>
              <w:rPr>
                <w:rFonts w:ascii="楷体" w:hAnsi="楷体" w:eastAsia="楷体"/>
                <w:kern w:val="2"/>
                <w:sz w:val="18"/>
              </w:rPr>
            </w:pPr>
            <w:r>
              <w:rPr>
                <w:rFonts w:hint="eastAsia"/>
                <w:kern w:val="2"/>
                <w:sz w:val="20"/>
                <w:szCs w:val="21"/>
              </w:rPr>
              <w:t>13</w:t>
            </w:r>
            <w:r>
              <w:rPr>
                <w:rFonts w:hint="eastAsia"/>
                <w:kern w:val="2"/>
                <w:sz w:val="20"/>
                <w:szCs w:val="21"/>
                <w:lang w:eastAsia="zh-CN"/>
              </w:rPr>
              <w:t>年</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9" w:type="dxa"/>
            <w:vAlign w:val="center"/>
          </w:tcPr>
          <w:p>
            <w:pPr>
              <w:pStyle w:val="350"/>
              <w:suppressAutoHyphens w:val="0"/>
              <w:adjustRightInd w:val="0"/>
              <w:snapToGrid w:val="0"/>
              <w:spacing w:before="60" w:after="60"/>
              <w:jc w:val="center"/>
              <w:rPr>
                <w:szCs w:val="21"/>
              </w:rPr>
            </w:pPr>
            <w:r>
              <w:rPr>
                <w:rFonts w:hint="eastAsia"/>
                <w:szCs w:val="21"/>
              </w:rPr>
              <w:t>黄媛</w:t>
            </w:r>
          </w:p>
        </w:tc>
        <w:tc>
          <w:tcPr>
            <w:tcW w:w="2133" w:type="dxa"/>
            <w:vAlign w:val="center"/>
          </w:tcPr>
          <w:p>
            <w:pPr>
              <w:pStyle w:val="350"/>
              <w:suppressAutoHyphens w:val="0"/>
              <w:adjustRightInd w:val="0"/>
              <w:snapToGrid w:val="0"/>
              <w:spacing w:before="60" w:after="60"/>
              <w:jc w:val="center"/>
              <w:rPr>
                <w:szCs w:val="21"/>
              </w:rPr>
            </w:pPr>
            <w:r>
              <w:rPr>
                <w:rFonts w:hint="eastAsia"/>
                <w:szCs w:val="21"/>
              </w:rPr>
              <w:t>副教授</w:t>
            </w:r>
          </w:p>
        </w:tc>
        <w:tc>
          <w:tcPr>
            <w:tcW w:w="859" w:type="dxa"/>
            <w:vAlign w:val="center"/>
          </w:tcPr>
          <w:p>
            <w:pPr>
              <w:pStyle w:val="350"/>
              <w:suppressAutoHyphens w:val="0"/>
              <w:adjustRightInd w:val="0"/>
              <w:snapToGrid w:val="0"/>
              <w:spacing w:before="60" w:after="60"/>
              <w:jc w:val="center"/>
              <w:rPr>
                <w:kern w:val="2"/>
                <w:sz w:val="20"/>
                <w:szCs w:val="21"/>
              </w:rPr>
            </w:pPr>
            <w:r>
              <w:rPr>
                <w:rFonts w:hint="eastAsia"/>
                <w:kern w:val="2"/>
                <w:sz w:val="20"/>
                <w:szCs w:val="21"/>
              </w:rPr>
              <w:t>4</w:t>
            </w:r>
            <w:r>
              <w:rPr>
                <w:kern w:val="2"/>
                <w:sz w:val="20"/>
                <w:szCs w:val="21"/>
              </w:rPr>
              <w:t>6</w:t>
            </w:r>
          </w:p>
        </w:tc>
        <w:tc>
          <w:tcPr>
            <w:tcW w:w="1512" w:type="dxa"/>
            <w:vAlign w:val="center"/>
          </w:tcPr>
          <w:p>
            <w:pPr>
              <w:pStyle w:val="350"/>
              <w:suppressAutoHyphens w:val="0"/>
              <w:adjustRightInd w:val="0"/>
              <w:snapToGrid w:val="0"/>
              <w:spacing w:before="60" w:after="60"/>
              <w:jc w:val="center"/>
              <w:rPr>
                <w:szCs w:val="21"/>
              </w:rPr>
            </w:pPr>
            <w:r>
              <w:rPr>
                <w:rFonts w:hint="eastAsia"/>
                <w:szCs w:val="21"/>
              </w:rPr>
              <w:t>电力系统及其自动化</w:t>
            </w:r>
          </w:p>
        </w:tc>
        <w:tc>
          <w:tcPr>
            <w:tcW w:w="3169" w:type="dxa"/>
            <w:vAlign w:val="center"/>
          </w:tcPr>
          <w:p>
            <w:pPr>
              <w:pStyle w:val="350"/>
              <w:suppressAutoHyphens w:val="0"/>
              <w:adjustRightInd w:val="0"/>
              <w:snapToGrid w:val="0"/>
              <w:spacing w:before="60" w:after="60"/>
              <w:jc w:val="center"/>
              <w:rPr>
                <w:kern w:val="2"/>
                <w:sz w:val="20"/>
                <w:szCs w:val="21"/>
              </w:rPr>
            </w:pPr>
            <w:r>
              <w:rPr>
                <w:rFonts w:hint="eastAsia"/>
                <w:kern w:val="2"/>
                <w:sz w:val="20"/>
                <w:szCs w:val="21"/>
              </w:rPr>
              <w:t>13</w:t>
            </w:r>
            <w:r>
              <w:rPr>
                <w:rFonts w:hint="eastAsia"/>
                <w:kern w:val="2"/>
                <w:sz w:val="20"/>
                <w:szCs w:val="21"/>
                <w:lang w:eastAsia="zh-CN"/>
              </w:rPr>
              <w:t>年</w:t>
            </w:r>
          </w:p>
        </w:tc>
      </w:tr>
    </w:tbl>
    <w:p>
      <w:pPr>
        <w:widowControl/>
        <w:spacing w:line="360" w:lineRule="auto"/>
        <w:jc w:val="left"/>
      </w:pPr>
      <w:r>
        <w:br w:type="page"/>
      </w:r>
    </w:p>
    <w:p>
      <w:pPr>
        <w:keepNext/>
        <w:keepLines/>
        <w:spacing w:before="280" w:after="290" w:line="360" w:lineRule="auto"/>
        <w:outlineLvl w:val="4"/>
        <w:rPr>
          <w:rFonts w:ascii="宋体" w:hAnsi="宋体"/>
          <w:b/>
          <w:bCs/>
          <w:szCs w:val="21"/>
        </w:rPr>
      </w:pPr>
      <w:r>
        <w:rPr>
          <w:rFonts w:hint="eastAsia" w:ascii="宋体" w:hAnsi="宋体"/>
          <w:b/>
          <w:bCs/>
          <w:szCs w:val="21"/>
        </w:rPr>
        <w:t>养老保险影印件</w:t>
      </w:r>
    </w:p>
    <w:p>
      <w:pPr>
        <w:pStyle w:val="44"/>
        <w:suppressAutoHyphens/>
        <w:spacing w:before="280" w:beforeAutospacing="0" w:after="0" w:afterAutospacing="0" w:line="360" w:lineRule="auto"/>
      </w:pPr>
      <w:r>
        <w:drawing>
          <wp:inline distT="0" distB="0" distL="0" distR="0">
            <wp:extent cx="5044440" cy="7465695"/>
            <wp:effectExtent l="0" t="0" r="381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43385" cy="7464339"/>
                    </a:xfrm>
                    <a:prstGeom prst="rect">
                      <a:avLst/>
                    </a:prstGeom>
                    <a:ln>
                      <a:noFill/>
                    </a:ln>
                  </pic:spPr>
                </pic:pic>
              </a:graphicData>
            </a:graphic>
          </wp:inline>
        </w:drawing>
      </w:r>
    </w:p>
    <w:p>
      <w:pPr>
        <w:pStyle w:val="44"/>
        <w:suppressAutoHyphens/>
        <w:spacing w:before="280" w:beforeAutospacing="0" w:after="0" w:afterAutospacing="0" w:line="360" w:lineRule="auto"/>
        <w:ind w:left="420"/>
        <w:rPr>
          <w:b/>
          <w:bCs/>
          <w:sz w:val="28"/>
          <w:szCs w:val="28"/>
        </w:rPr>
      </w:pPr>
      <w:r>
        <w:t xml:space="preserve"> </w:t>
      </w:r>
      <w:r>
        <w:drawing>
          <wp:inline distT="0" distB="0" distL="0" distR="0">
            <wp:extent cx="5087620" cy="699706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4"/>
                    <a:stretch>
                      <a:fillRect/>
                    </a:stretch>
                  </pic:blipFill>
                  <pic:spPr>
                    <a:xfrm>
                      <a:off x="0" y="0"/>
                      <a:ext cx="5092743" cy="7003974"/>
                    </a:xfrm>
                    <a:prstGeom prst="rect">
                      <a:avLst/>
                    </a:prstGeom>
                  </pic:spPr>
                </pic:pic>
              </a:graphicData>
            </a:graphic>
          </wp:inline>
        </w:drawing>
      </w:r>
    </w:p>
    <w:p>
      <w:pPr>
        <w:widowControl/>
        <w:jc w:val="left"/>
      </w:pPr>
      <w:r>
        <w:br w:type="page"/>
      </w:r>
    </w:p>
    <w:p>
      <w:pPr>
        <w:pStyle w:val="3"/>
        <w:pageBreakBefore/>
        <w:rPr>
          <w:sz w:val="24"/>
        </w:rPr>
      </w:pPr>
      <w:r>
        <w:rPr>
          <w:rFonts w:hint="eastAsia"/>
        </w:rPr>
        <w:t>10、应答人主要技术装备（如有要求）</w:t>
      </w:r>
    </w:p>
    <w:p>
      <w:pPr>
        <w:pStyle w:val="254"/>
        <w:rPr>
          <w:rFonts w:ascii="楷体" w:hAnsi="楷体" w:eastAsia="楷体"/>
        </w:rPr>
      </w:pPr>
      <w:r>
        <w:rPr>
          <w:rFonts w:ascii="楷体" w:hAnsi="楷体" w:eastAsia="楷体"/>
        </w:rPr>
        <w:t>应答人主要技术装备表</w:t>
      </w:r>
    </w:p>
    <w:tbl>
      <w:tblPr>
        <w:tblStyle w:val="49"/>
        <w:tblW w:w="0" w:type="auto"/>
        <w:jc w:val="center"/>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1703"/>
        <w:gridCol w:w="1045"/>
        <w:gridCol w:w="2360"/>
        <w:gridCol w:w="1712"/>
      </w:tblGrid>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2" w:type="dxa"/>
            <w:vAlign w:val="center"/>
          </w:tcPr>
          <w:p>
            <w:pPr>
              <w:pStyle w:val="350"/>
              <w:suppressAutoHyphens w:val="0"/>
              <w:adjustRightInd w:val="0"/>
              <w:snapToGrid w:val="0"/>
              <w:spacing w:before="56" w:after="56"/>
              <w:jc w:val="center"/>
              <w:rPr>
                <w:rFonts w:ascii="楷体" w:hAnsi="楷体" w:eastAsia="楷体"/>
                <w:kern w:val="2"/>
                <w:sz w:val="18"/>
              </w:rPr>
            </w:pPr>
            <w:r>
              <w:rPr>
                <w:rFonts w:ascii="楷体" w:hAnsi="楷体" w:eastAsia="楷体"/>
                <w:kern w:val="2"/>
                <w:sz w:val="18"/>
              </w:rPr>
              <w:t>名</w:t>
            </w:r>
            <w:r>
              <w:rPr>
                <w:rFonts w:hint="eastAsia" w:ascii="楷体" w:hAnsi="楷体" w:eastAsia="楷体"/>
                <w:kern w:val="2"/>
                <w:sz w:val="18"/>
                <w:lang w:eastAsia="zh-CN"/>
              </w:rPr>
              <w:t xml:space="preserve">    </w:t>
            </w:r>
            <w:r>
              <w:rPr>
                <w:rFonts w:ascii="楷体" w:hAnsi="楷体" w:eastAsia="楷体"/>
                <w:kern w:val="2"/>
                <w:sz w:val="18"/>
              </w:rPr>
              <w:t>称</w:t>
            </w:r>
          </w:p>
        </w:tc>
        <w:tc>
          <w:tcPr>
            <w:tcW w:w="1703" w:type="dxa"/>
            <w:vAlign w:val="center"/>
          </w:tcPr>
          <w:p>
            <w:pPr>
              <w:pStyle w:val="350"/>
              <w:suppressAutoHyphens w:val="0"/>
              <w:adjustRightInd w:val="0"/>
              <w:snapToGrid w:val="0"/>
              <w:spacing w:before="56" w:after="56"/>
              <w:jc w:val="center"/>
              <w:rPr>
                <w:rFonts w:ascii="楷体" w:hAnsi="楷体" w:eastAsia="楷体"/>
                <w:kern w:val="2"/>
                <w:sz w:val="18"/>
              </w:rPr>
            </w:pPr>
            <w:r>
              <w:rPr>
                <w:rFonts w:ascii="楷体" w:hAnsi="楷体" w:eastAsia="楷体"/>
                <w:kern w:val="2"/>
                <w:sz w:val="18"/>
              </w:rPr>
              <w:t>规</w:t>
            </w:r>
            <w:r>
              <w:rPr>
                <w:rFonts w:hint="eastAsia" w:ascii="楷体" w:hAnsi="楷体" w:eastAsia="楷体"/>
                <w:kern w:val="2"/>
                <w:sz w:val="18"/>
                <w:lang w:eastAsia="zh-CN"/>
              </w:rPr>
              <w:t xml:space="preserve">    </w:t>
            </w:r>
            <w:r>
              <w:rPr>
                <w:rFonts w:ascii="楷体" w:hAnsi="楷体" w:eastAsia="楷体"/>
                <w:kern w:val="2"/>
                <w:sz w:val="18"/>
              </w:rPr>
              <w:t>格</w:t>
            </w:r>
          </w:p>
        </w:tc>
        <w:tc>
          <w:tcPr>
            <w:tcW w:w="1045" w:type="dxa"/>
            <w:vAlign w:val="center"/>
          </w:tcPr>
          <w:p>
            <w:pPr>
              <w:pStyle w:val="350"/>
              <w:suppressAutoHyphens w:val="0"/>
              <w:adjustRightInd w:val="0"/>
              <w:snapToGrid w:val="0"/>
              <w:spacing w:before="56" w:after="56"/>
              <w:jc w:val="center"/>
              <w:rPr>
                <w:rFonts w:ascii="楷体" w:hAnsi="楷体" w:eastAsia="楷体"/>
                <w:kern w:val="2"/>
                <w:sz w:val="18"/>
              </w:rPr>
            </w:pPr>
            <w:r>
              <w:rPr>
                <w:rFonts w:ascii="楷体" w:hAnsi="楷体" w:eastAsia="楷体"/>
                <w:kern w:val="2"/>
                <w:sz w:val="18"/>
              </w:rPr>
              <w:t>数</w:t>
            </w:r>
            <w:r>
              <w:rPr>
                <w:rFonts w:hint="eastAsia" w:ascii="楷体" w:hAnsi="楷体" w:eastAsia="楷体"/>
                <w:kern w:val="2"/>
                <w:sz w:val="18"/>
                <w:lang w:eastAsia="zh-CN"/>
              </w:rPr>
              <w:t xml:space="preserve">  </w:t>
            </w:r>
            <w:r>
              <w:rPr>
                <w:rFonts w:ascii="楷体" w:hAnsi="楷体" w:eastAsia="楷体"/>
                <w:kern w:val="2"/>
                <w:sz w:val="18"/>
              </w:rPr>
              <w:t>量</w:t>
            </w:r>
          </w:p>
        </w:tc>
        <w:tc>
          <w:tcPr>
            <w:tcW w:w="2360" w:type="dxa"/>
            <w:vAlign w:val="center"/>
          </w:tcPr>
          <w:p>
            <w:pPr>
              <w:pStyle w:val="350"/>
              <w:suppressAutoHyphens w:val="0"/>
              <w:adjustRightInd w:val="0"/>
              <w:snapToGrid w:val="0"/>
              <w:spacing w:before="56" w:after="56"/>
              <w:jc w:val="center"/>
              <w:rPr>
                <w:rFonts w:ascii="楷体" w:hAnsi="楷体" w:eastAsia="楷体"/>
                <w:kern w:val="2"/>
                <w:sz w:val="18"/>
              </w:rPr>
            </w:pPr>
            <w:r>
              <w:rPr>
                <w:rFonts w:ascii="楷体" w:hAnsi="楷体" w:eastAsia="楷体"/>
                <w:kern w:val="2"/>
                <w:sz w:val="18"/>
              </w:rPr>
              <w:t>主</w:t>
            </w:r>
            <w:r>
              <w:rPr>
                <w:rFonts w:hint="eastAsia" w:ascii="楷体" w:hAnsi="楷体" w:eastAsia="楷体"/>
                <w:kern w:val="2"/>
                <w:sz w:val="18"/>
                <w:lang w:eastAsia="zh-CN"/>
              </w:rPr>
              <w:t xml:space="preserve">  </w:t>
            </w:r>
            <w:r>
              <w:rPr>
                <w:rFonts w:ascii="楷体" w:hAnsi="楷体" w:eastAsia="楷体"/>
                <w:kern w:val="2"/>
                <w:sz w:val="18"/>
              </w:rPr>
              <w:t>要</w:t>
            </w:r>
            <w:r>
              <w:rPr>
                <w:rFonts w:hint="eastAsia" w:ascii="楷体" w:hAnsi="楷体" w:eastAsia="楷体"/>
                <w:kern w:val="2"/>
                <w:sz w:val="18"/>
                <w:lang w:eastAsia="zh-CN"/>
              </w:rPr>
              <w:t xml:space="preserve">  </w:t>
            </w:r>
            <w:r>
              <w:rPr>
                <w:rFonts w:ascii="楷体" w:hAnsi="楷体" w:eastAsia="楷体"/>
                <w:kern w:val="2"/>
                <w:sz w:val="18"/>
              </w:rPr>
              <w:t>性</w:t>
            </w:r>
            <w:r>
              <w:rPr>
                <w:rFonts w:hint="eastAsia" w:ascii="楷体" w:hAnsi="楷体" w:eastAsia="楷体"/>
                <w:kern w:val="2"/>
                <w:sz w:val="18"/>
                <w:lang w:eastAsia="zh-CN"/>
              </w:rPr>
              <w:t xml:space="preserve">  </w:t>
            </w:r>
            <w:r>
              <w:rPr>
                <w:rFonts w:ascii="楷体" w:hAnsi="楷体" w:eastAsia="楷体"/>
                <w:kern w:val="2"/>
                <w:sz w:val="18"/>
              </w:rPr>
              <w:t>能</w:t>
            </w:r>
          </w:p>
        </w:tc>
        <w:tc>
          <w:tcPr>
            <w:tcW w:w="1712" w:type="dxa"/>
            <w:vAlign w:val="center"/>
          </w:tcPr>
          <w:p>
            <w:pPr>
              <w:pStyle w:val="350"/>
              <w:suppressAutoHyphens w:val="0"/>
              <w:adjustRightInd w:val="0"/>
              <w:snapToGrid w:val="0"/>
              <w:spacing w:before="56" w:after="56"/>
              <w:jc w:val="center"/>
              <w:rPr>
                <w:rFonts w:ascii="楷体" w:hAnsi="楷体" w:eastAsia="楷体"/>
                <w:kern w:val="2"/>
                <w:sz w:val="18"/>
              </w:rPr>
            </w:pPr>
            <w:r>
              <w:rPr>
                <w:rFonts w:ascii="楷体" w:hAnsi="楷体" w:eastAsia="楷体"/>
                <w:kern w:val="2"/>
                <w:sz w:val="18"/>
              </w:rPr>
              <w:t>备</w:t>
            </w:r>
            <w:r>
              <w:rPr>
                <w:rFonts w:hint="eastAsia" w:ascii="楷体" w:hAnsi="楷体" w:eastAsia="楷体"/>
                <w:kern w:val="2"/>
                <w:sz w:val="18"/>
                <w:lang w:eastAsia="zh-CN"/>
              </w:rPr>
              <w:t xml:space="preserve">    </w:t>
            </w:r>
            <w:r>
              <w:rPr>
                <w:rFonts w:ascii="楷体" w:hAnsi="楷体" w:eastAsia="楷体"/>
                <w:kern w:val="2"/>
                <w:sz w:val="18"/>
              </w:rPr>
              <w:t>注</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2"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PC电脑</w:t>
            </w:r>
          </w:p>
        </w:tc>
        <w:tc>
          <w:tcPr>
            <w:tcW w:w="1703"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高档台式机</w:t>
            </w:r>
          </w:p>
        </w:tc>
        <w:tc>
          <w:tcPr>
            <w:tcW w:w="1045"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lang w:eastAsia="zh-CN"/>
              </w:rPr>
              <w:t>9</w:t>
            </w:r>
            <w:r>
              <w:rPr>
                <w:rFonts w:hint="eastAsia" w:ascii="楷体" w:hAnsi="楷体" w:eastAsia="楷体"/>
                <w:kern w:val="2"/>
                <w:sz w:val="18"/>
              </w:rPr>
              <w:t>0</w:t>
            </w:r>
          </w:p>
        </w:tc>
        <w:tc>
          <w:tcPr>
            <w:tcW w:w="2360" w:type="dxa"/>
            <w:vAlign w:val="center"/>
          </w:tcPr>
          <w:p>
            <w:pPr>
              <w:adjustRightInd w:val="0"/>
              <w:snapToGrid w:val="0"/>
              <w:spacing w:before="56" w:after="56" w:line="360" w:lineRule="auto"/>
              <w:contextualSpacing/>
              <w:jc w:val="center"/>
              <w:rPr>
                <w:rFonts w:ascii="楷体" w:hAnsi="楷体"/>
                <w:sz w:val="18"/>
                <w:lang w:eastAsia="ar-SA"/>
              </w:rPr>
            </w:pPr>
            <w:r>
              <w:rPr>
                <w:rFonts w:hint="eastAsia" w:ascii="楷体" w:hAnsi="楷体"/>
                <w:sz w:val="18"/>
                <w:lang w:eastAsia="ar-SA"/>
              </w:rPr>
              <w:t>CPU:I5 4570;</w:t>
            </w:r>
          </w:p>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HDD:1TB+64GBSSD；MEM:8GB</w:t>
            </w:r>
          </w:p>
        </w:tc>
        <w:tc>
          <w:tcPr>
            <w:tcW w:w="1712"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用于编程仿真；有丰富的Matpower、Python、BPA、PSASP等编程软件、仿真软件。</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2"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IBM服务器、工作站</w:t>
            </w:r>
          </w:p>
        </w:tc>
        <w:tc>
          <w:tcPr>
            <w:tcW w:w="1703"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IBM服务器、工作站</w:t>
            </w:r>
          </w:p>
        </w:tc>
        <w:tc>
          <w:tcPr>
            <w:tcW w:w="1045"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20</w:t>
            </w:r>
          </w:p>
        </w:tc>
        <w:tc>
          <w:tcPr>
            <w:tcW w:w="2360" w:type="dxa"/>
            <w:vAlign w:val="center"/>
          </w:tcPr>
          <w:p>
            <w:pPr>
              <w:adjustRightInd w:val="0"/>
              <w:snapToGrid w:val="0"/>
              <w:spacing w:before="56" w:after="56" w:line="360" w:lineRule="auto"/>
              <w:contextualSpacing/>
              <w:jc w:val="center"/>
              <w:rPr>
                <w:rFonts w:ascii="楷体" w:hAnsi="楷体"/>
                <w:sz w:val="18"/>
                <w:lang w:eastAsia="ar-SA"/>
              </w:rPr>
            </w:pPr>
            <w:r>
              <w:rPr>
                <w:rFonts w:hint="eastAsia" w:ascii="楷体" w:hAnsi="楷体"/>
                <w:sz w:val="18"/>
                <w:lang w:eastAsia="ar-SA"/>
              </w:rPr>
              <w:t>Machinc Type:7915</w:t>
            </w:r>
          </w:p>
          <w:p>
            <w:pPr>
              <w:adjustRightInd w:val="0"/>
              <w:snapToGrid w:val="0"/>
              <w:spacing w:before="56" w:after="56" w:line="360" w:lineRule="auto"/>
              <w:contextualSpacing/>
              <w:jc w:val="center"/>
              <w:rPr>
                <w:rFonts w:ascii="楷体" w:hAnsi="楷体"/>
                <w:sz w:val="18"/>
                <w:lang w:eastAsia="ar-SA"/>
              </w:rPr>
            </w:pPr>
            <w:r>
              <w:rPr>
                <w:rFonts w:hint="eastAsia" w:ascii="楷体" w:hAnsi="楷体"/>
                <w:sz w:val="18"/>
                <w:lang w:eastAsia="ar-SA"/>
              </w:rPr>
              <w:t>Model:AC1</w:t>
            </w:r>
          </w:p>
          <w:p>
            <w:pPr>
              <w:adjustRightInd w:val="0"/>
              <w:snapToGrid w:val="0"/>
              <w:spacing w:before="56" w:after="56" w:line="360" w:lineRule="auto"/>
              <w:contextualSpacing/>
              <w:jc w:val="center"/>
              <w:rPr>
                <w:rFonts w:ascii="楷体" w:hAnsi="楷体"/>
                <w:sz w:val="18"/>
                <w:lang w:eastAsia="ar-SA"/>
              </w:rPr>
            </w:pPr>
            <w:r>
              <w:rPr>
                <w:rFonts w:hint="eastAsia" w:ascii="楷体" w:hAnsi="楷体"/>
                <w:sz w:val="18"/>
                <w:lang w:eastAsia="ar-SA"/>
              </w:rPr>
              <w:t>Srcrial NO:06CXZRF</w:t>
            </w:r>
          </w:p>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Product ID: 79150DQ</w:t>
            </w:r>
          </w:p>
        </w:tc>
        <w:tc>
          <w:tcPr>
            <w:tcW w:w="1712"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程序测试</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2"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Spyder</w:t>
            </w:r>
          </w:p>
        </w:tc>
        <w:tc>
          <w:tcPr>
            <w:tcW w:w="1703" w:type="dxa"/>
            <w:vAlign w:val="center"/>
          </w:tcPr>
          <w:p>
            <w:pPr>
              <w:pStyle w:val="350"/>
              <w:suppressAutoHyphens w:val="0"/>
              <w:adjustRightInd w:val="0"/>
              <w:snapToGrid w:val="0"/>
              <w:spacing w:before="56" w:after="56"/>
              <w:jc w:val="center"/>
              <w:rPr>
                <w:rFonts w:ascii="楷体" w:hAnsi="楷体" w:eastAsia="楷体"/>
                <w:kern w:val="2"/>
                <w:sz w:val="18"/>
              </w:rPr>
            </w:pPr>
          </w:p>
        </w:tc>
        <w:tc>
          <w:tcPr>
            <w:tcW w:w="1045"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1</w:t>
            </w:r>
          </w:p>
        </w:tc>
        <w:tc>
          <w:tcPr>
            <w:tcW w:w="2360"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编写数据挖掘相关算法</w:t>
            </w:r>
          </w:p>
        </w:tc>
        <w:tc>
          <w:tcPr>
            <w:tcW w:w="1712"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数据挖掘算法的编写软件</w:t>
            </w:r>
          </w:p>
        </w:tc>
      </w:tr>
      <w:tr>
        <w:tblPrEx>
          <w:tblBorders>
            <w:top w:val="double" w:color="000000" w:sz="4" w:space="0"/>
            <w:left w:val="single" w:color="000000" w:sz="4" w:space="0"/>
            <w:bottom w:val="doub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02"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pandapower</w:t>
            </w:r>
          </w:p>
        </w:tc>
        <w:tc>
          <w:tcPr>
            <w:tcW w:w="1703" w:type="dxa"/>
            <w:vAlign w:val="center"/>
          </w:tcPr>
          <w:p>
            <w:pPr>
              <w:pStyle w:val="350"/>
              <w:suppressAutoHyphens w:val="0"/>
              <w:adjustRightInd w:val="0"/>
              <w:snapToGrid w:val="0"/>
              <w:spacing w:before="56" w:after="56"/>
              <w:jc w:val="center"/>
              <w:rPr>
                <w:rFonts w:ascii="楷体" w:hAnsi="楷体" w:eastAsia="楷体"/>
                <w:kern w:val="2"/>
                <w:sz w:val="18"/>
              </w:rPr>
            </w:pPr>
          </w:p>
        </w:tc>
        <w:tc>
          <w:tcPr>
            <w:tcW w:w="1045"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1</w:t>
            </w:r>
          </w:p>
        </w:tc>
        <w:tc>
          <w:tcPr>
            <w:tcW w:w="2360"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进行电力系统相关运算与仿真</w:t>
            </w:r>
          </w:p>
        </w:tc>
        <w:tc>
          <w:tcPr>
            <w:tcW w:w="1712" w:type="dxa"/>
            <w:vAlign w:val="center"/>
          </w:tcPr>
          <w:p>
            <w:pPr>
              <w:pStyle w:val="350"/>
              <w:suppressAutoHyphens w:val="0"/>
              <w:adjustRightInd w:val="0"/>
              <w:snapToGrid w:val="0"/>
              <w:spacing w:before="56" w:after="56"/>
              <w:jc w:val="center"/>
              <w:rPr>
                <w:rFonts w:ascii="楷体" w:hAnsi="楷体" w:eastAsia="楷体"/>
                <w:kern w:val="2"/>
                <w:sz w:val="18"/>
              </w:rPr>
            </w:pPr>
            <w:r>
              <w:rPr>
                <w:rFonts w:hint="eastAsia" w:ascii="楷体" w:hAnsi="楷体" w:eastAsia="楷体"/>
                <w:kern w:val="2"/>
                <w:sz w:val="18"/>
              </w:rPr>
              <w:t>python中用于电力系统方面的工具包</w:t>
            </w:r>
          </w:p>
        </w:tc>
      </w:tr>
    </w:tbl>
    <w:p/>
    <w:p>
      <w:pPr>
        <w:spacing w:line="300" w:lineRule="auto"/>
      </w:pPr>
      <w:r>
        <w:rPr>
          <w:rFonts w:hint="eastAsia"/>
        </w:rPr>
        <w:t>除以上列表资源，四川大学具备与本项目相关的研究条件，主要包括：</w:t>
      </w:r>
      <w:r>
        <w:rPr>
          <w:rFonts w:hint="eastAsia"/>
        </w:rPr>
        <w:cr/>
      </w:r>
      <w:r>
        <w:rPr>
          <w:rFonts w:hint="eastAsia"/>
          <w:b/>
          <w:bCs/>
        </w:rPr>
        <w:t>（1）软件方面：</w:t>
      </w:r>
      <w:r>
        <w:rPr>
          <w:rFonts w:hint="eastAsia"/>
          <w:b/>
          <w:bCs/>
        </w:rPr>
        <w:cr/>
      </w:r>
      <w:r>
        <w:rPr>
          <w:rFonts w:hint="eastAsia"/>
        </w:rPr>
        <w:t>电弧及磁场仿真软件：Ansys Workbench多物理场耦合研究平台，包括电磁场分析模块Ansys APDL、Maxwell，气流场分析模块Fluent、CFX；</w:t>
      </w:r>
      <w:r>
        <w:rPr>
          <w:rFonts w:hint="eastAsia"/>
        </w:rPr>
        <w:cr/>
      </w:r>
      <w:r>
        <w:rPr>
          <w:rFonts w:hint="eastAsia"/>
        </w:rPr>
        <w:t>多物理场仿真分析软件：Comsol Multiphysics。</w:t>
      </w:r>
      <w:r>
        <w:rPr>
          <w:rFonts w:hint="eastAsia"/>
        </w:rPr>
        <w:cr/>
      </w:r>
      <w:r>
        <w:rPr>
          <w:rFonts w:hint="eastAsia"/>
          <w:b/>
          <w:bCs/>
        </w:rPr>
        <w:t>（2）硬件方面：</w:t>
      </w:r>
      <w:r>
        <w:rPr>
          <w:rFonts w:hint="eastAsia"/>
          <w:b/>
          <w:bCs/>
        </w:rPr>
        <w:cr/>
      </w:r>
      <w:r>
        <w:rPr>
          <w:rFonts w:hint="eastAsia"/>
        </w:rPr>
        <w:t xml:space="preserve">实验电源系统：小型LC振荡电流源； </w:t>
      </w:r>
      <w:r>
        <w:rPr>
          <w:rFonts w:hint="eastAsia"/>
        </w:rPr>
        <w:cr/>
      </w:r>
      <w:r>
        <w:rPr>
          <w:rFonts w:hint="eastAsia"/>
        </w:rPr>
        <w:t>实验腔体：可拆卸真空灭弧室；</w:t>
      </w:r>
      <w:r>
        <w:rPr>
          <w:rFonts w:hint="eastAsia"/>
        </w:rPr>
        <w:cr/>
      </w:r>
      <w:r>
        <w:rPr>
          <w:rFonts w:hint="eastAsia"/>
        </w:rPr>
        <w:t>光学诊断系统：Andor等离子体光谱测试仪(270nm to 810nm; Andor SR750)，ICCD，2m×1m光学平台及相应配件；</w:t>
      </w:r>
      <w:r>
        <w:rPr>
          <w:rFonts w:hint="eastAsia"/>
        </w:rPr>
        <w:cr/>
      </w:r>
      <w:r>
        <w:rPr>
          <w:rFonts w:hint="eastAsia"/>
        </w:rPr>
        <w:t xml:space="preserve">电弧电压、电流测量：高压探头P6015；罗氏线圈；分流器； </w:t>
      </w:r>
      <w:r>
        <w:rPr>
          <w:rFonts w:hint="eastAsia"/>
        </w:rPr>
        <w:cr/>
      </w:r>
      <w:r>
        <w:rPr>
          <w:rFonts w:hint="eastAsia"/>
        </w:rPr>
        <w:t xml:space="preserve">电极表面温度测量：双色高温仪(德国SENSOR STHERM，测温范围1000-2500℃)； </w:t>
      </w:r>
      <w:r>
        <w:rPr>
          <w:rFonts w:hint="eastAsia"/>
        </w:rPr>
        <w:cr/>
      </w:r>
      <w:r>
        <w:rPr>
          <w:rFonts w:hint="eastAsia"/>
        </w:rPr>
        <w:t xml:space="preserve">同步系统：数字延时触发器(DG535; Stanford Research Systems)； </w:t>
      </w:r>
      <w:r>
        <w:rPr>
          <w:rFonts w:hint="eastAsia"/>
        </w:rPr>
        <w:cr/>
      </w:r>
      <w:r>
        <w:rPr>
          <w:rFonts w:hint="eastAsia"/>
        </w:rPr>
        <w:t xml:space="preserve">数据采集：DS6104数字示波器，带宽1GHz，采样率5GSa/s，最大存储深度180,000 wfms/s，通道数4。 </w:t>
      </w:r>
      <w:r>
        <w:cr/>
      </w:r>
    </w:p>
    <w:p>
      <w:pPr>
        <w:pStyle w:val="2"/>
        <w:pageBreakBefore/>
      </w:pPr>
      <w:r>
        <w:rPr>
          <w:rFonts w:hint="eastAsia"/>
        </w:rPr>
        <w:t>四、对业主方培训方案（如有要求）</w:t>
      </w:r>
    </w:p>
    <w:p>
      <w:pPr>
        <w:spacing w:line="300" w:lineRule="auto"/>
        <w:rPr>
          <w:b/>
          <w:bCs/>
          <w:sz w:val="24"/>
          <w:szCs w:val="24"/>
          <w:u w:val="single"/>
        </w:rPr>
      </w:pPr>
      <w:r>
        <w:rPr>
          <w:rFonts w:hint="eastAsia"/>
          <w:b/>
          <w:bCs/>
          <w:sz w:val="24"/>
          <w:szCs w:val="24"/>
          <w:u w:val="single"/>
        </w:rPr>
        <w:t>1.培训方案</w:t>
      </w:r>
    </w:p>
    <w:p>
      <w:pPr>
        <w:spacing w:line="400" w:lineRule="exact"/>
        <w:ind w:firstLine="480" w:firstLineChars="200"/>
        <w:rPr>
          <w:sz w:val="24"/>
          <w:szCs w:val="24"/>
        </w:rPr>
      </w:pPr>
      <w:r>
        <w:rPr>
          <w:rFonts w:hint="eastAsia"/>
          <w:sz w:val="24"/>
          <w:szCs w:val="24"/>
        </w:rPr>
        <w:t>有效的技术培训</w:t>
      </w:r>
      <w:r>
        <w:rPr>
          <w:sz w:val="24"/>
          <w:szCs w:val="24"/>
        </w:rPr>
        <w:t>，是保证</w:t>
      </w:r>
      <w:r>
        <w:rPr>
          <w:rFonts w:hint="eastAsia"/>
          <w:sz w:val="24"/>
          <w:szCs w:val="24"/>
        </w:rPr>
        <w:t>技术服务</w:t>
      </w:r>
      <w:r>
        <w:rPr>
          <w:sz w:val="24"/>
          <w:szCs w:val="24"/>
        </w:rPr>
        <w:t>成功实施的关键因素之一。</w:t>
      </w:r>
      <w:r>
        <w:rPr>
          <w:rFonts w:hint="eastAsia"/>
          <w:sz w:val="24"/>
          <w:szCs w:val="24"/>
        </w:rPr>
        <w:t>应标人</w:t>
      </w:r>
      <w:r>
        <w:rPr>
          <w:sz w:val="24"/>
          <w:szCs w:val="24"/>
        </w:rPr>
        <w:t>将根据</w:t>
      </w:r>
      <w:r>
        <w:rPr>
          <w:rFonts w:hint="eastAsia"/>
          <w:sz w:val="24"/>
          <w:szCs w:val="24"/>
        </w:rPr>
        <w:t>此次技术服务</w:t>
      </w:r>
      <w:r>
        <w:rPr>
          <w:sz w:val="24"/>
          <w:szCs w:val="24"/>
        </w:rPr>
        <w:t>实施的进度情况，分阶段、分工作角色有针对性的安排不同的培训，使参与项目的所有人员在不同的时期都得到与其下阶段工作相配套的知识</w:t>
      </w:r>
      <w:r>
        <w:rPr>
          <w:rFonts w:hint="eastAsia"/>
          <w:sz w:val="24"/>
          <w:szCs w:val="24"/>
        </w:rPr>
        <w:t>与技术</w:t>
      </w:r>
      <w:r>
        <w:rPr>
          <w:sz w:val="24"/>
          <w:szCs w:val="24"/>
        </w:rPr>
        <w:t>储备，从而保证整个</w:t>
      </w:r>
      <w:r>
        <w:rPr>
          <w:color w:val="000000"/>
          <w:sz w:val="24"/>
          <w:szCs w:val="24"/>
        </w:rPr>
        <w:t>大电流开关柜散热（除湿）装置控制器控制技术升级改造及维护</w:t>
      </w:r>
      <w:r>
        <w:rPr>
          <w:sz w:val="24"/>
          <w:szCs w:val="24"/>
        </w:rPr>
        <w:t xml:space="preserve">项目的顺利实施。 </w:t>
      </w:r>
    </w:p>
    <w:p>
      <w:pPr>
        <w:spacing w:line="400" w:lineRule="exact"/>
        <w:ind w:firstLine="480" w:firstLineChars="200"/>
        <w:rPr>
          <w:sz w:val="24"/>
          <w:szCs w:val="24"/>
        </w:rPr>
      </w:pPr>
      <w:r>
        <w:rPr>
          <w:rFonts w:hint="eastAsia"/>
          <w:sz w:val="24"/>
          <w:szCs w:val="24"/>
        </w:rPr>
        <w:t>针对本次升级改造与技术服务的特点，建议采用分阶段、分层次培训的策略。在实施的过程中，由应标人技术人员完善作业手册，并指导用户方的技术人员进行技术测试与改造、调试服务，我方实施人员将为用户方相关部门的使用人员提供相应的使用培训。</w:t>
      </w:r>
    </w:p>
    <w:p>
      <w:pPr>
        <w:spacing w:before="156" w:beforeLines="50" w:line="300" w:lineRule="auto"/>
        <w:rPr>
          <w:b/>
          <w:bCs/>
          <w:sz w:val="24"/>
          <w:szCs w:val="24"/>
          <w:u w:val="single"/>
        </w:rPr>
      </w:pPr>
      <w:r>
        <w:rPr>
          <w:rFonts w:hint="eastAsia"/>
          <w:b/>
          <w:bCs/>
          <w:sz w:val="24"/>
          <w:szCs w:val="24"/>
          <w:u w:val="single"/>
        </w:rPr>
        <w:t>2.培训步骤</w:t>
      </w:r>
    </w:p>
    <w:p>
      <w:pPr>
        <w:spacing w:line="400" w:lineRule="exact"/>
        <w:ind w:firstLine="480" w:firstLineChars="200"/>
        <w:rPr>
          <w:sz w:val="24"/>
          <w:szCs w:val="24"/>
        </w:rPr>
      </w:pPr>
      <w:r>
        <w:rPr>
          <w:rFonts w:hint="eastAsia"/>
          <w:sz w:val="24"/>
          <w:szCs w:val="24"/>
        </w:rPr>
        <w:t>为能够有效的实现对客户的培训，我方制定的培训服务步骤如下：</w:t>
      </w:r>
    </w:p>
    <w:p>
      <w:pPr>
        <w:spacing w:line="400" w:lineRule="exact"/>
        <w:ind w:firstLine="480" w:firstLineChars="200"/>
        <w:rPr>
          <w:sz w:val="24"/>
          <w:szCs w:val="24"/>
        </w:rPr>
      </w:pPr>
      <w:r>
        <w:rPr>
          <w:sz w:val="24"/>
          <w:szCs w:val="24"/>
        </w:rPr>
        <w:t>1</w:t>
      </w:r>
      <w:r>
        <w:rPr>
          <w:rFonts w:hint="eastAsia"/>
          <w:sz w:val="24"/>
          <w:szCs w:val="24"/>
        </w:rPr>
        <w:t>）</w:t>
      </w:r>
      <w:r>
        <w:rPr>
          <w:sz w:val="24"/>
          <w:szCs w:val="24"/>
        </w:rPr>
        <w:t>项目领导组负责人协助</w:t>
      </w:r>
      <w:r>
        <w:rPr>
          <w:rFonts w:hint="eastAsia"/>
          <w:sz w:val="24"/>
          <w:szCs w:val="24"/>
        </w:rPr>
        <w:t>我方</w:t>
      </w:r>
      <w:r>
        <w:rPr>
          <w:sz w:val="24"/>
          <w:szCs w:val="24"/>
        </w:rPr>
        <w:t>项目负责人制定</w:t>
      </w:r>
      <w:r>
        <w:rPr>
          <w:color w:val="000000"/>
          <w:sz w:val="24"/>
          <w:szCs w:val="24"/>
        </w:rPr>
        <w:t>大电流开关柜散热（除湿）装置控制器控制技术升级改造及维护</w:t>
      </w:r>
      <w:r>
        <w:rPr>
          <w:rFonts w:hint="eastAsia"/>
          <w:color w:val="000000"/>
          <w:sz w:val="24"/>
          <w:szCs w:val="24"/>
        </w:rPr>
        <w:t>技术服务</w:t>
      </w:r>
      <w:r>
        <w:rPr>
          <w:sz w:val="24"/>
          <w:szCs w:val="24"/>
        </w:rPr>
        <w:t xml:space="preserve">的总体培训计划；  </w:t>
      </w:r>
    </w:p>
    <w:p>
      <w:pPr>
        <w:spacing w:line="400" w:lineRule="exact"/>
        <w:ind w:firstLine="480" w:firstLineChars="200"/>
        <w:rPr>
          <w:sz w:val="24"/>
          <w:szCs w:val="24"/>
        </w:rPr>
      </w:pPr>
      <w:r>
        <w:rPr>
          <w:sz w:val="24"/>
          <w:szCs w:val="24"/>
        </w:rPr>
        <w:t>2</w:t>
      </w:r>
      <w:r>
        <w:rPr>
          <w:rFonts w:hint="eastAsia"/>
          <w:sz w:val="24"/>
          <w:szCs w:val="24"/>
        </w:rPr>
        <w:t>）</w:t>
      </w:r>
      <w:r>
        <w:rPr>
          <w:sz w:val="24"/>
          <w:szCs w:val="24"/>
        </w:rPr>
        <w:t>技术支持小组人员在培训开始前一个月，准备并安排相应的培训资源，包括培训课程、时间计划、地点、讲师等；</w:t>
      </w:r>
    </w:p>
    <w:p>
      <w:pPr>
        <w:spacing w:line="400" w:lineRule="exact"/>
        <w:ind w:firstLine="480" w:firstLineChars="200"/>
        <w:rPr>
          <w:sz w:val="24"/>
          <w:szCs w:val="24"/>
        </w:rPr>
      </w:pPr>
      <w:r>
        <w:rPr>
          <w:sz w:val="24"/>
          <w:szCs w:val="24"/>
        </w:rPr>
        <w:t>3</w:t>
      </w:r>
      <w:r>
        <w:rPr>
          <w:rFonts w:hint="eastAsia"/>
          <w:sz w:val="24"/>
          <w:szCs w:val="24"/>
        </w:rPr>
        <w:t>）</w:t>
      </w:r>
      <w:r>
        <w:rPr>
          <w:sz w:val="24"/>
          <w:szCs w:val="24"/>
        </w:rPr>
        <w:t>经过项目组协调确认后，开始进入</w:t>
      </w:r>
      <w:r>
        <w:rPr>
          <w:rFonts w:hint="eastAsia"/>
          <w:sz w:val="24"/>
          <w:szCs w:val="24"/>
        </w:rPr>
        <w:t>技术升级改造及维护技术服务</w:t>
      </w:r>
      <w:r>
        <w:rPr>
          <w:sz w:val="24"/>
          <w:szCs w:val="24"/>
        </w:rPr>
        <w:t xml:space="preserve">培训的实施阶段； </w:t>
      </w:r>
    </w:p>
    <w:p>
      <w:pPr>
        <w:spacing w:line="400" w:lineRule="exact"/>
        <w:ind w:firstLine="480" w:firstLineChars="200"/>
        <w:rPr>
          <w:sz w:val="24"/>
          <w:szCs w:val="24"/>
        </w:rPr>
      </w:pPr>
      <w:r>
        <w:rPr>
          <w:sz w:val="24"/>
          <w:szCs w:val="24"/>
        </w:rPr>
        <w:t>4</w:t>
      </w:r>
      <w:r>
        <w:rPr>
          <w:rFonts w:hint="eastAsia"/>
          <w:sz w:val="24"/>
          <w:szCs w:val="24"/>
        </w:rPr>
        <w:t>）</w:t>
      </w:r>
      <w:r>
        <w:rPr>
          <w:sz w:val="24"/>
          <w:szCs w:val="24"/>
        </w:rPr>
        <w:t>培训过程中，</w:t>
      </w:r>
      <w:r>
        <w:rPr>
          <w:rFonts w:hint="eastAsia"/>
          <w:sz w:val="24"/>
          <w:szCs w:val="24"/>
        </w:rPr>
        <w:t>我方</w:t>
      </w:r>
      <w:r>
        <w:rPr>
          <w:sz w:val="24"/>
          <w:szCs w:val="24"/>
        </w:rPr>
        <w:t xml:space="preserve">将对培训的过程和效果进行必要的记录，并及时根据学员的需求及时调整培训的内容、形式、资源等； </w:t>
      </w:r>
    </w:p>
    <w:p>
      <w:pPr>
        <w:spacing w:line="400" w:lineRule="exact"/>
        <w:ind w:firstLine="480" w:firstLineChars="200"/>
        <w:rPr>
          <w:sz w:val="24"/>
          <w:szCs w:val="24"/>
        </w:rPr>
      </w:pPr>
      <w:r>
        <w:rPr>
          <w:sz w:val="24"/>
          <w:szCs w:val="24"/>
        </w:rPr>
        <w:t>5</w:t>
      </w:r>
      <w:r>
        <w:rPr>
          <w:rFonts w:hint="eastAsia"/>
          <w:sz w:val="24"/>
          <w:szCs w:val="24"/>
        </w:rPr>
        <w:t>）</w:t>
      </w:r>
      <w:r>
        <w:rPr>
          <w:sz w:val="24"/>
          <w:szCs w:val="24"/>
        </w:rPr>
        <w:t>在技术培训结束后，</w:t>
      </w:r>
      <w:r>
        <w:rPr>
          <w:rFonts w:hint="eastAsia"/>
          <w:sz w:val="24"/>
          <w:szCs w:val="24"/>
        </w:rPr>
        <w:t>我方</w:t>
      </w:r>
      <w:r>
        <w:rPr>
          <w:sz w:val="24"/>
          <w:szCs w:val="24"/>
        </w:rPr>
        <w:t>技术支持小组将培训的结果汇总、整理后，反馈给</w:t>
      </w:r>
      <w:r>
        <w:rPr>
          <w:rFonts w:hint="eastAsia"/>
          <w:sz w:val="24"/>
          <w:szCs w:val="24"/>
        </w:rPr>
        <w:t>招标方</w:t>
      </w:r>
      <w:r>
        <w:rPr>
          <w:sz w:val="24"/>
          <w:szCs w:val="24"/>
        </w:rPr>
        <w:t>项目管理人员，并对培训的成果进行审核和评估。</w:t>
      </w:r>
    </w:p>
    <w:p>
      <w:pPr>
        <w:spacing w:before="156" w:beforeLines="50" w:line="300" w:lineRule="auto"/>
        <w:rPr>
          <w:b/>
          <w:bCs/>
          <w:sz w:val="24"/>
          <w:szCs w:val="24"/>
          <w:u w:val="single"/>
        </w:rPr>
      </w:pPr>
      <w:r>
        <w:rPr>
          <w:rFonts w:hint="eastAsia"/>
          <w:b/>
          <w:bCs/>
          <w:sz w:val="24"/>
          <w:szCs w:val="24"/>
          <w:u w:val="single"/>
        </w:rPr>
        <w:t>3.培训方式</w:t>
      </w:r>
    </w:p>
    <w:p>
      <w:pPr>
        <w:spacing w:line="400" w:lineRule="exact"/>
        <w:ind w:firstLine="480" w:firstLineChars="200"/>
        <w:rPr>
          <w:sz w:val="24"/>
          <w:szCs w:val="24"/>
        </w:rPr>
      </w:pPr>
      <w:r>
        <w:rPr>
          <w:rFonts w:hint="eastAsia"/>
          <w:sz w:val="24"/>
          <w:szCs w:val="24"/>
        </w:rPr>
        <w:t>1）技术服务相关事项理论讲授和现场实际操作相结合；</w:t>
      </w:r>
    </w:p>
    <w:p>
      <w:pPr>
        <w:spacing w:line="400" w:lineRule="exact"/>
        <w:ind w:firstLine="480" w:firstLineChars="200"/>
        <w:rPr>
          <w:sz w:val="24"/>
          <w:szCs w:val="24"/>
        </w:rPr>
      </w:pPr>
      <w:r>
        <w:rPr>
          <w:rFonts w:hint="eastAsia"/>
          <w:sz w:val="24"/>
          <w:szCs w:val="24"/>
        </w:rPr>
        <w:t>2）指导培训人员进行工作；</w:t>
      </w:r>
      <w:r>
        <w:rPr>
          <w:sz w:val="24"/>
          <w:szCs w:val="24"/>
        </w:rPr>
        <w:t xml:space="preserve"> </w:t>
      </w:r>
    </w:p>
    <w:p>
      <w:pPr>
        <w:spacing w:line="400" w:lineRule="exact"/>
        <w:ind w:firstLine="480" w:firstLineChars="200"/>
        <w:rPr>
          <w:sz w:val="24"/>
          <w:szCs w:val="24"/>
        </w:rPr>
      </w:pPr>
      <w:r>
        <w:rPr>
          <w:rFonts w:hint="eastAsia"/>
          <w:sz w:val="24"/>
          <w:szCs w:val="24"/>
        </w:rPr>
        <w:t>3）让培训人员适当参与改造与技术服务前期方案设计的部分工作；</w:t>
      </w:r>
      <w:r>
        <w:rPr>
          <w:sz w:val="24"/>
          <w:szCs w:val="24"/>
        </w:rPr>
        <w:t xml:space="preserve"> </w:t>
      </w:r>
    </w:p>
    <w:p>
      <w:pPr>
        <w:spacing w:line="400" w:lineRule="exact"/>
        <w:ind w:firstLine="480" w:firstLineChars="200"/>
        <w:rPr>
          <w:sz w:val="24"/>
          <w:szCs w:val="24"/>
        </w:rPr>
      </w:pPr>
      <w:r>
        <w:rPr>
          <w:rFonts w:hint="eastAsia"/>
          <w:sz w:val="24"/>
          <w:szCs w:val="24"/>
        </w:rPr>
        <w:t>4）让培训人员开展独立工作，由我方给与技术支持与反馈；</w:t>
      </w:r>
      <w:r>
        <w:rPr>
          <w:sz w:val="24"/>
          <w:szCs w:val="24"/>
        </w:rPr>
        <w:t xml:space="preserve"> </w:t>
      </w:r>
    </w:p>
    <w:p>
      <w:pPr>
        <w:spacing w:line="400" w:lineRule="exact"/>
        <w:ind w:firstLine="480" w:firstLineChars="200"/>
        <w:rPr>
          <w:sz w:val="24"/>
          <w:szCs w:val="24"/>
        </w:rPr>
      </w:pPr>
      <w:r>
        <w:rPr>
          <w:rFonts w:hint="eastAsia"/>
          <w:sz w:val="24"/>
          <w:szCs w:val="24"/>
        </w:rPr>
        <w:t>5）培训结束后，可根据招标方要求，安排</w:t>
      </w:r>
      <w:r>
        <w:rPr>
          <w:sz w:val="24"/>
          <w:szCs w:val="24"/>
        </w:rPr>
        <w:t>2～3小时对</w:t>
      </w:r>
      <w:r>
        <w:rPr>
          <w:rFonts w:hint="eastAsia"/>
          <w:sz w:val="24"/>
          <w:szCs w:val="24"/>
        </w:rPr>
        <w:t>相关</w:t>
      </w:r>
      <w:r>
        <w:rPr>
          <w:sz w:val="24"/>
          <w:szCs w:val="24"/>
        </w:rPr>
        <w:t>培训人员进行理论和实际操作的</w:t>
      </w:r>
      <w:r>
        <w:rPr>
          <w:rFonts w:hint="eastAsia"/>
          <w:sz w:val="24"/>
          <w:szCs w:val="24"/>
        </w:rPr>
        <w:t>复习演练</w:t>
      </w:r>
      <w:r>
        <w:rPr>
          <w:sz w:val="24"/>
          <w:szCs w:val="24"/>
        </w:rPr>
        <w:t>。</w:t>
      </w:r>
    </w:p>
    <w:p>
      <w:pPr>
        <w:spacing w:before="156" w:beforeLines="50" w:line="300" w:lineRule="auto"/>
        <w:rPr>
          <w:b/>
          <w:bCs/>
          <w:sz w:val="24"/>
          <w:szCs w:val="24"/>
          <w:u w:val="single"/>
        </w:rPr>
      </w:pPr>
      <w:r>
        <w:rPr>
          <w:rFonts w:hint="eastAsia"/>
          <w:b/>
          <w:bCs/>
          <w:sz w:val="24"/>
          <w:szCs w:val="24"/>
          <w:u w:val="single"/>
        </w:rPr>
        <w:t>4.培训对象</w:t>
      </w:r>
    </w:p>
    <w:p>
      <w:pPr>
        <w:spacing w:line="400" w:lineRule="exact"/>
        <w:ind w:firstLine="480" w:firstLineChars="200"/>
        <w:rPr>
          <w:sz w:val="24"/>
          <w:szCs w:val="24"/>
        </w:rPr>
      </w:pPr>
      <w:r>
        <w:rPr>
          <w:rFonts w:hint="eastAsia"/>
          <w:sz w:val="24"/>
          <w:szCs w:val="24"/>
        </w:rPr>
        <w:t>针对</w:t>
      </w:r>
      <w:r>
        <w:rPr>
          <w:color w:val="000000"/>
          <w:sz w:val="24"/>
          <w:szCs w:val="24"/>
        </w:rPr>
        <w:t>大电流开关柜散热（除湿）装置控制器控制技术升级改造及维护</w:t>
      </w:r>
      <w:r>
        <w:rPr>
          <w:sz w:val="24"/>
          <w:szCs w:val="24"/>
        </w:rPr>
        <w:t>项目</w:t>
      </w:r>
      <w:r>
        <w:rPr>
          <w:rFonts w:hint="eastAsia"/>
          <w:sz w:val="24"/>
          <w:szCs w:val="24"/>
        </w:rPr>
        <w:t>的培训对象可划分为：运维(实施</w:t>
      </w:r>
      <w:r>
        <w:rPr>
          <w:sz w:val="24"/>
          <w:szCs w:val="24"/>
        </w:rPr>
        <w:t>)</w:t>
      </w:r>
      <w:r>
        <w:rPr>
          <w:rFonts w:hint="eastAsia"/>
          <w:sz w:val="24"/>
          <w:szCs w:val="24"/>
        </w:rPr>
        <w:t>人员、系统管理人员等。按招标人要求，统一组织、统一规划、统一管理，对人员进行集中培训，同时为上线培训做好充分的准备。</w:t>
      </w:r>
    </w:p>
    <w:p>
      <w:pPr>
        <w:spacing w:before="156" w:beforeLines="50" w:line="300" w:lineRule="auto"/>
        <w:rPr>
          <w:b/>
          <w:bCs/>
          <w:sz w:val="24"/>
          <w:szCs w:val="24"/>
          <w:u w:val="single"/>
        </w:rPr>
      </w:pPr>
      <w:r>
        <w:rPr>
          <w:rFonts w:hint="eastAsia"/>
          <w:b/>
          <w:bCs/>
          <w:sz w:val="24"/>
          <w:szCs w:val="24"/>
          <w:u w:val="single"/>
        </w:rPr>
        <w:t>5.运维(实施</w:t>
      </w:r>
      <w:r>
        <w:rPr>
          <w:b/>
          <w:bCs/>
          <w:sz w:val="24"/>
          <w:szCs w:val="24"/>
          <w:u w:val="single"/>
        </w:rPr>
        <w:t>)</w:t>
      </w:r>
      <w:r>
        <w:rPr>
          <w:rFonts w:hint="eastAsia"/>
          <w:b/>
          <w:bCs/>
          <w:sz w:val="24"/>
          <w:szCs w:val="24"/>
          <w:u w:val="single"/>
        </w:rPr>
        <w:t>人员培训</w:t>
      </w:r>
    </w:p>
    <w:p>
      <w:pPr>
        <w:spacing w:line="400" w:lineRule="exact"/>
        <w:ind w:firstLine="480" w:firstLineChars="200"/>
        <w:rPr>
          <w:sz w:val="24"/>
          <w:szCs w:val="24"/>
        </w:rPr>
      </w:pPr>
      <w:r>
        <w:rPr>
          <w:rFonts w:hint="eastAsia"/>
          <w:sz w:val="24"/>
          <w:szCs w:val="24"/>
        </w:rPr>
        <w:t>运维人员主要包括系统的操作使用及应用技巧，帮助起熟练掌握本次技术服务所提供的相关改造措施的各类操作和应用，保证升级改造后相关系统支撑日常运维工作带来的各种便利和质量提升。</w:t>
      </w:r>
    </w:p>
    <w:p>
      <w:pPr>
        <w:pStyle w:val="179"/>
        <w:numPr>
          <w:ilvl w:val="0"/>
          <w:numId w:val="3"/>
        </w:numPr>
        <w:spacing w:line="400" w:lineRule="exact"/>
        <w:ind w:firstLineChars="0"/>
        <w:rPr>
          <w:sz w:val="24"/>
          <w:szCs w:val="24"/>
        </w:rPr>
      </w:pPr>
      <w:r>
        <w:rPr>
          <w:sz w:val="24"/>
          <w:szCs w:val="24"/>
        </w:rPr>
        <w:t>培训目标：</w:t>
      </w:r>
    </w:p>
    <w:p>
      <w:pPr>
        <w:spacing w:line="400" w:lineRule="exact"/>
        <w:ind w:firstLine="480" w:firstLineChars="200"/>
        <w:rPr>
          <w:sz w:val="24"/>
          <w:szCs w:val="24"/>
        </w:rPr>
      </w:pPr>
      <w:r>
        <w:rPr>
          <w:sz w:val="24"/>
          <w:szCs w:val="24"/>
        </w:rPr>
        <w:t>1)</w:t>
      </w:r>
      <w:r>
        <w:rPr>
          <w:sz w:val="24"/>
          <w:szCs w:val="24"/>
        </w:rPr>
        <w:tab/>
      </w:r>
      <w:r>
        <w:rPr>
          <w:sz w:val="24"/>
          <w:szCs w:val="24"/>
        </w:rPr>
        <w:t>掌握</w:t>
      </w:r>
      <w:r>
        <w:rPr>
          <w:color w:val="000000"/>
          <w:sz w:val="24"/>
          <w:szCs w:val="24"/>
        </w:rPr>
        <w:t>大电流开关柜散热（除湿）装置控制器控制技术升级改造及维护</w:t>
      </w:r>
      <w:r>
        <w:rPr>
          <w:sz w:val="24"/>
          <w:szCs w:val="24"/>
        </w:rPr>
        <w:t>基本情况；</w:t>
      </w:r>
    </w:p>
    <w:p>
      <w:pPr>
        <w:spacing w:line="400" w:lineRule="exact"/>
        <w:ind w:firstLine="480" w:firstLineChars="200"/>
        <w:rPr>
          <w:sz w:val="24"/>
          <w:szCs w:val="24"/>
        </w:rPr>
      </w:pPr>
      <w:r>
        <w:rPr>
          <w:sz w:val="24"/>
          <w:szCs w:val="24"/>
        </w:rPr>
        <w:t>2)</w:t>
      </w:r>
      <w:r>
        <w:rPr>
          <w:sz w:val="24"/>
          <w:szCs w:val="24"/>
        </w:rPr>
        <w:tab/>
      </w:r>
      <w:r>
        <w:rPr>
          <w:sz w:val="24"/>
          <w:szCs w:val="24"/>
        </w:rPr>
        <w:t>掌握</w:t>
      </w:r>
      <w:r>
        <w:rPr>
          <w:rFonts w:hint="eastAsia"/>
          <w:sz w:val="24"/>
          <w:szCs w:val="24"/>
        </w:rPr>
        <w:t>相关改造装置与升级系统的</w:t>
      </w:r>
      <w:r>
        <w:rPr>
          <w:sz w:val="24"/>
          <w:szCs w:val="24"/>
        </w:rPr>
        <w:t>各项业务功能的基本操作；</w:t>
      </w:r>
    </w:p>
    <w:p>
      <w:pPr>
        <w:spacing w:line="400" w:lineRule="exact"/>
        <w:ind w:firstLine="480" w:firstLineChars="200"/>
        <w:rPr>
          <w:sz w:val="24"/>
          <w:szCs w:val="24"/>
        </w:rPr>
      </w:pPr>
      <w:r>
        <w:rPr>
          <w:sz w:val="24"/>
          <w:szCs w:val="24"/>
        </w:rPr>
        <w:t>3)</w:t>
      </w:r>
      <w:r>
        <w:rPr>
          <w:sz w:val="24"/>
          <w:szCs w:val="24"/>
        </w:rPr>
        <w:tab/>
      </w:r>
      <w:r>
        <w:rPr>
          <w:sz w:val="24"/>
          <w:szCs w:val="24"/>
        </w:rPr>
        <w:t>掌握</w:t>
      </w:r>
      <w:r>
        <w:rPr>
          <w:color w:val="000000"/>
          <w:sz w:val="24"/>
          <w:szCs w:val="24"/>
        </w:rPr>
        <w:t>大电流开关柜散热（除湿）装置控制器控制改造及维护</w:t>
      </w:r>
      <w:r>
        <w:rPr>
          <w:rFonts w:hint="eastAsia"/>
          <w:color w:val="000000"/>
          <w:sz w:val="24"/>
          <w:szCs w:val="24"/>
        </w:rPr>
        <w:t>的</w:t>
      </w:r>
      <w:r>
        <w:rPr>
          <w:sz w:val="24"/>
          <w:szCs w:val="24"/>
        </w:rPr>
        <w:t>各项操作技巧。</w:t>
      </w:r>
    </w:p>
    <w:p>
      <w:pPr>
        <w:pStyle w:val="179"/>
        <w:numPr>
          <w:ilvl w:val="0"/>
          <w:numId w:val="3"/>
        </w:numPr>
        <w:spacing w:line="400" w:lineRule="exact"/>
        <w:ind w:firstLineChars="0"/>
        <w:rPr>
          <w:sz w:val="24"/>
          <w:szCs w:val="24"/>
        </w:rPr>
      </w:pPr>
      <w:r>
        <w:rPr>
          <w:rFonts w:hint="eastAsia"/>
          <w:sz w:val="24"/>
          <w:szCs w:val="24"/>
        </w:rPr>
        <w:t>培训</w:t>
      </w:r>
      <w:r>
        <w:rPr>
          <w:sz w:val="24"/>
          <w:szCs w:val="24"/>
        </w:rPr>
        <w:t>基本内容包括：</w:t>
      </w:r>
    </w:p>
    <w:p>
      <w:pPr>
        <w:spacing w:line="400" w:lineRule="exact"/>
        <w:ind w:firstLine="480" w:firstLineChars="200"/>
        <w:rPr>
          <w:sz w:val="24"/>
          <w:szCs w:val="24"/>
        </w:rPr>
      </w:pPr>
      <w:r>
        <w:rPr>
          <w:sz w:val="24"/>
          <w:szCs w:val="24"/>
        </w:rPr>
        <w:t>1)</w:t>
      </w:r>
      <w:r>
        <w:rPr>
          <w:sz w:val="24"/>
          <w:szCs w:val="24"/>
        </w:rPr>
        <w:tab/>
      </w:r>
      <w:r>
        <w:rPr>
          <w:color w:val="000000"/>
          <w:sz w:val="24"/>
          <w:szCs w:val="24"/>
        </w:rPr>
        <w:t>大电流开关柜散热（除湿）装置控制器控制技术升级改造及维护</w:t>
      </w:r>
      <w:r>
        <w:rPr>
          <w:sz w:val="24"/>
          <w:szCs w:val="24"/>
        </w:rPr>
        <w:t>操作培训；</w:t>
      </w:r>
    </w:p>
    <w:p>
      <w:pPr>
        <w:spacing w:line="400" w:lineRule="exact"/>
        <w:ind w:firstLine="480" w:firstLineChars="200"/>
        <w:rPr>
          <w:sz w:val="24"/>
          <w:szCs w:val="24"/>
        </w:rPr>
      </w:pPr>
      <w:r>
        <w:rPr>
          <w:sz w:val="24"/>
          <w:szCs w:val="24"/>
        </w:rPr>
        <w:t>2)</w:t>
      </w:r>
      <w:r>
        <w:rPr>
          <w:sz w:val="24"/>
          <w:szCs w:val="24"/>
        </w:rPr>
        <w:tab/>
      </w:r>
      <w:r>
        <w:rPr>
          <w:sz w:val="24"/>
          <w:szCs w:val="24"/>
        </w:rPr>
        <w:t>相关技术原理培训；</w:t>
      </w:r>
    </w:p>
    <w:p>
      <w:pPr>
        <w:spacing w:line="400" w:lineRule="exact"/>
        <w:ind w:firstLine="480" w:firstLineChars="200"/>
        <w:rPr>
          <w:sz w:val="24"/>
          <w:szCs w:val="24"/>
        </w:rPr>
      </w:pPr>
      <w:r>
        <w:rPr>
          <w:sz w:val="24"/>
          <w:szCs w:val="24"/>
        </w:rPr>
        <w:t>3)</w:t>
      </w:r>
      <w:r>
        <w:rPr>
          <w:sz w:val="24"/>
          <w:szCs w:val="24"/>
        </w:rPr>
        <w:tab/>
      </w:r>
      <w:r>
        <w:rPr>
          <w:rFonts w:hint="eastAsia"/>
          <w:sz w:val="24"/>
          <w:szCs w:val="24"/>
        </w:rPr>
        <w:t>相关</w:t>
      </w:r>
      <w:r>
        <w:rPr>
          <w:sz w:val="24"/>
          <w:szCs w:val="24"/>
        </w:rPr>
        <w:t>操作使用方法；</w:t>
      </w:r>
    </w:p>
    <w:p>
      <w:pPr>
        <w:spacing w:line="400" w:lineRule="exact"/>
        <w:ind w:firstLine="480" w:firstLineChars="200"/>
        <w:rPr>
          <w:sz w:val="24"/>
          <w:szCs w:val="24"/>
        </w:rPr>
      </w:pPr>
      <w:r>
        <w:rPr>
          <w:sz w:val="24"/>
          <w:szCs w:val="24"/>
        </w:rPr>
        <w:t>4)</w:t>
      </w:r>
      <w:r>
        <w:rPr>
          <w:sz w:val="24"/>
          <w:szCs w:val="24"/>
        </w:rPr>
        <w:tab/>
      </w:r>
      <w:r>
        <w:rPr>
          <w:sz w:val="24"/>
          <w:szCs w:val="24"/>
        </w:rPr>
        <w:t>系统维护管理方法；</w:t>
      </w:r>
    </w:p>
    <w:p>
      <w:pPr>
        <w:spacing w:line="400" w:lineRule="exact"/>
        <w:ind w:firstLine="480" w:firstLineChars="200"/>
        <w:rPr>
          <w:sz w:val="24"/>
          <w:szCs w:val="24"/>
        </w:rPr>
      </w:pPr>
      <w:r>
        <w:rPr>
          <w:sz w:val="24"/>
          <w:szCs w:val="24"/>
        </w:rPr>
        <w:t>5)</w:t>
      </w:r>
      <w:r>
        <w:rPr>
          <w:sz w:val="24"/>
          <w:szCs w:val="24"/>
        </w:rPr>
        <w:tab/>
      </w:r>
      <w:r>
        <w:rPr>
          <w:sz w:val="24"/>
          <w:szCs w:val="24"/>
        </w:rPr>
        <w:t>实际的测试操作练习。</w:t>
      </w:r>
    </w:p>
    <w:p>
      <w:pPr>
        <w:spacing w:before="156" w:beforeLines="50" w:line="400" w:lineRule="exact"/>
        <w:rPr>
          <w:b/>
          <w:bCs/>
          <w:sz w:val="24"/>
          <w:szCs w:val="24"/>
          <w:u w:val="single"/>
        </w:rPr>
      </w:pPr>
      <w:r>
        <w:rPr>
          <w:rFonts w:hint="eastAsia"/>
          <w:b/>
          <w:bCs/>
          <w:sz w:val="24"/>
          <w:szCs w:val="24"/>
          <w:u w:val="single"/>
        </w:rPr>
        <w:t>6.系统管理人员培训</w:t>
      </w:r>
    </w:p>
    <w:p>
      <w:pPr>
        <w:spacing w:line="400" w:lineRule="exact"/>
        <w:ind w:firstLine="480" w:firstLineChars="200"/>
        <w:rPr>
          <w:sz w:val="24"/>
          <w:szCs w:val="24"/>
        </w:rPr>
      </w:pPr>
      <w:r>
        <w:rPr>
          <w:rFonts w:hint="eastAsia"/>
          <w:sz w:val="24"/>
          <w:szCs w:val="24"/>
        </w:rPr>
        <w:t>系统管理人员培训主要包括系统整体架构设计、功能原理、基础数据配置，使用户掌握设备故障排除的手段，为用户对</w:t>
      </w:r>
      <w:r>
        <w:rPr>
          <w:color w:val="000000"/>
          <w:sz w:val="24"/>
          <w:szCs w:val="24"/>
        </w:rPr>
        <w:t>大电流开关柜散热（除湿）装置控制器控制技术</w:t>
      </w:r>
      <w:r>
        <w:rPr>
          <w:rFonts w:hint="eastAsia"/>
          <w:sz w:val="24"/>
          <w:szCs w:val="24"/>
        </w:rPr>
        <w:t>的有效、高效使用奠定基础。</w:t>
      </w:r>
    </w:p>
    <w:p>
      <w:pPr>
        <w:pStyle w:val="179"/>
        <w:numPr>
          <w:ilvl w:val="0"/>
          <w:numId w:val="3"/>
        </w:numPr>
        <w:spacing w:line="400" w:lineRule="exact"/>
        <w:ind w:firstLineChars="0"/>
        <w:rPr>
          <w:sz w:val="24"/>
          <w:szCs w:val="24"/>
        </w:rPr>
      </w:pPr>
      <w:r>
        <w:rPr>
          <w:rFonts w:hint="eastAsia"/>
          <w:sz w:val="24"/>
          <w:szCs w:val="24"/>
        </w:rPr>
        <w:t>培训</w:t>
      </w:r>
      <w:r>
        <w:rPr>
          <w:sz w:val="24"/>
          <w:szCs w:val="24"/>
        </w:rPr>
        <w:t>目标：</w:t>
      </w:r>
    </w:p>
    <w:p>
      <w:pPr>
        <w:spacing w:line="400" w:lineRule="exact"/>
        <w:ind w:firstLine="480" w:firstLineChars="200"/>
        <w:rPr>
          <w:sz w:val="24"/>
          <w:szCs w:val="24"/>
        </w:rPr>
      </w:pPr>
      <w:r>
        <w:rPr>
          <w:sz w:val="24"/>
          <w:szCs w:val="24"/>
        </w:rPr>
        <w:t>1)</w:t>
      </w:r>
      <w:r>
        <w:rPr>
          <w:sz w:val="24"/>
          <w:szCs w:val="24"/>
        </w:rPr>
        <w:tab/>
      </w:r>
      <w:r>
        <w:rPr>
          <w:sz w:val="24"/>
          <w:szCs w:val="24"/>
        </w:rPr>
        <w:t>掌握</w:t>
      </w:r>
      <w:r>
        <w:rPr>
          <w:color w:val="000000"/>
          <w:sz w:val="24"/>
          <w:szCs w:val="24"/>
        </w:rPr>
        <w:t>大电流开关柜散热（除湿）装置控制器控制技术</w:t>
      </w:r>
      <w:r>
        <w:rPr>
          <w:sz w:val="24"/>
          <w:szCs w:val="24"/>
        </w:rPr>
        <w:t>的体系结构</w:t>
      </w:r>
    </w:p>
    <w:p>
      <w:pPr>
        <w:spacing w:line="400" w:lineRule="exact"/>
        <w:ind w:firstLine="480" w:firstLineChars="200"/>
        <w:rPr>
          <w:sz w:val="24"/>
          <w:szCs w:val="24"/>
        </w:rPr>
      </w:pPr>
      <w:r>
        <w:rPr>
          <w:sz w:val="24"/>
          <w:szCs w:val="24"/>
        </w:rPr>
        <w:t>2)</w:t>
      </w:r>
      <w:r>
        <w:rPr>
          <w:sz w:val="24"/>
          <w:szCs w:val="24"/>
        </w:rPr>
        <w:tab/>
      </w:r>
      <w:r>
        <w:rPr>
          <w:sz w:val="24"/>
          <w:szCs w:val="24"/>
        </w:rPr>
        <w:t>掌握</w:t>
      </w:r>
      <w:r>
        <w:rPr>
          <w:color w:val="000000"/>
          <w:sz w:val="24"/>
          <w:szCs w:val="24"/>
        </w:rPr>
        <w:t>大电流开关柜散热（除湿）装置控制器控制技术</w:t>
      </w:r>
      <w:r>
        <w:rPr>
          <w:sz w:val="24"/>
          <w:szCs w:val="24"/>
        </w:rPr>
        <w:t>管理功能的基本</w:t>
      </w:r>
      <w:r>
        <w:rPr>
          <w:rFonts w:hint="eastAsia"/>
          <w:sz w:val="24"/>
          <w:szCs w:val="24"/>
        </w:rPr>
        <w:t>原理与</w:t>
      </w:r>
      <w:r>
        <w:rPr>
          <w:sz w:val="24"/>
          <w:szCs w:val="24"/>
        </w:rPr>
        <w:t>操作</w:t>
      </w:r>
    </w:p>
    <w:p>
      <w:pPr>
        <w:spacing w:line="400" w:lineRule="exact"/>
        <w:ind w:firstLine="480" w:firstLineChars="200"/>
        <w:rPr>
          <w:sz w:val="24"/>
          <w:szCs w:val="24"/>
        </w:rPr>
      </w:pPr>
      <w:r>
        <w:rPr>
          <w:sz w:val="24"/>
          <w:szCs w:val="24"/>
        </w:rPr>
        <w:t>3)</w:t>
      </w:r>
      <w:r>
        <w:rPr>
          <w:sz w:val="24"/>
          <w:szCs w:val="24"/>
        </w:rPr>
        <w:tab/>
      </w:r>
      <w:r>
        <w:rPr>
          <w:sz w:val="24"/>
          <w:szCs w:val="24"/>
        </w:rPr>
        <w:t>掌握</w:t>
      </w:r>
      <w:r>
        <w:rPr>
          <w:rFonts w:hint="eastAsia"/>
          <w:sz w:val="24"/>
          <w:szCs w:val="24"/>
        </w:rPr>
        <w:t>升级改造后相关设备的</w:t>
      </w:r>
      <w:r>
        <w:rPr>
          <w:sz w:val="24"/>
          <w:szCs w:val="24"/>
        </w:rPr>
        <w:t>日常维护工作技能</w:t>
      </w:r>
    </w:p>
    <w:p>
      <w:pPr>
        <w:spacing w:line="400" w:lineRule="exact"/>
        <w:ind w:firstLine="480" w:firstLineChars="200"/>
        <w:rPr>
          <w:sz w:val="24"/>
          <w:szCs w:val="24"/>
        </w:rPr>
      </w:pPr>
      <w:r>
        <w:rPr>
          <w:sz w:val="24"/>
          <w:szCs w:val="24"/>
        </w:rPr>
        <w:t>4)</w:t>
      </w:r>
      <w:r>
        <w:rPr>
          <w:sz w:val="24"/>
          <w:szCs w:val="24"/>
        </w:rPr>
        <w:tab/>
      </w:r>
      <w:r>
        <w:rPr>
          <w:sz w:val="24"/>
          <w:szCs w:val="24"/>
        </w:rPr>
        <w:t>具备故障排除的能力</w:t>
      </w:r>
    </w:p>
    <w:p>
      <w:pPr>
        <w:pStyle w:val="179"/>
        <w:numPr>
          <w:ilvl w:val="0"/>
          <w:numId w:val="3"/>
        </w:numPr>
        <w:spacing w:line="400" w:lineRule="exact"/>
        <w:ind w:firstLineChars="0"/>
        <w:rPr>
          <w:sz w:val="24"/>
          <w:szCs w:val="24"/>
        </w:rPr>
      </w:pPr>
      <w:r>
        <w:rPr>
          <w:sz w:val="24"/>
          <w:szCs w:val="24"/>
        </w:rPr>
        <w:t>培训内容：</w:t>
      </w:r>
    </w:p>
    <w:p>
      <w:pPr>
        <w:spacing w:line="400" w:lineRule="exact"/>
        <w:ind w:firstLine="480" w:firstLineChars="200"/>
        <w:rPr>
          <w:sz w:val="24"/>
          <w:szCs w:val="24"/>
        </w:rPr>
      </w:pPr>
      <w:r>
        <w:rPr>
          <w:sz w:val="24"/>
          <w:szCs w:val="24"/>
        </w:rPr>
        <w:t>1)</w:t>
      </w:r>
      <w:r>
        <w:rPr>
          <w:sz w:val="24"/>
          <w:szCs w:val="24"/>
        </w:rPr>
        <w:tab/>
      </w:r>
      <w:r>
        <w:rPr>
          <w:color w:val="000000"/>
          <w:sz w:val="24"/>
          <w:szCs w:val="24"/>
        </w:rPr>
        <w:t>大电流开关柜散热（除湿）装置控制器控制技术</w:t>
      </w:r>
      <w:r>
        <w:rPr>
          <w:sz w:val="24"/>
          <w:szCs w:val="24"/>
        </w:rPr>
        <w:t>的使用和操作培训；</w:t>
      </w:r>
    </w:p>
    <w:p>
      <w:pPr>
        <w:spacing w:line="400" w:lineRule="exact"/>
        <w:ind w:firstLine="480" w:firstLineChars="200"/>
        <w:rPr>
          <w:szCs w:val="21"/>
        </w:rPr>
      </w:pPr>
      <w:r>
        <w:rPr>
          <w:sz w:val="24"/>
          <w:szCs w:val="24"/>
        </w:rPr>
        <w:t>2)</w:t>
      </w:r>
      <w:r>
        <w:rPr>
          <w:sz w:val="24"/>
          <w:szCs w:val="24"/>
        </w:rPr>
        <w:tab/>
      </w:r>
      <w:r>
        <w:rPr>
          <w:rFonts w:hint="eastAsia"/>
          <w:sz w:val="24"/>
          <w:szCs w:val="24"/>
        </w:rPr>
        <w:t>相关设备的</w:t>
      </w:r>
      <w:r>
        <w:rPr>
          <w:sz w:val="24"/>
          <w:szCs w:val="24"/>
        </w:rPr>
        <w:t>配置和维护培训；</w:t>
      </w:r>
    </w:p>
    <w:p>
      <w:pPr>
        <w:pStyle w:val="2"/>
        <w:pageBreakBefore/>
      </w:pPr>
      <w:r>
        <w:rPr>
          <w:rFonts w:hint="eastAsia"/>
        </w:rPr>
        <w:t>五、服务大纲、服务方案及服务承诺（如有要求）</w:t>
      </w:r>
    </w:p>
    <w:p>
      <w:pPr>
        <w:pStyle w:val="87"/>
        <w:spacing w:line="400" w:lineRule="exact"/>
        <w:ind w:firstLine="420"/>
        <w:rPr>
          <w:rFonts w:ascii="楷体" w:hAnsi="楷体" w:eastAsia="楷体"/>
          <w:sz w:val="24"/>
          <w:szCs w:val="24"/>
        </w:rPr>
      </w:pPr>
      <w:r>
        <w:rPr>
          <w:rFonts w:hint="eastAsia" w:ascii="楷体" w:hAnsi="楷体" w:eastAsia="楷体"/>
          <w:sz w:val="24"/>
          <w:szCs w:val="24"/>
        </w:rPr>
        <w:t>工作（服务）大纲、工作（服务）方案及服务承诺应根据采购人对项目的要求、评审标准的要求及项目本身的特点编写，包括但不限于以下内容：</w:t>
      </w:r>
    </w:p>
    <w:p>
      <w:pPr>
        <w:pStyle w:val="3"/>
        <w:rPr>
          <w:sz w:val="24"/>
          <w:szCs w:val="24"/>
        </w:rPr>
      </w:pPr>
      <w:r>
        <w:rPr>
          <w:rFonts w:hint="eastAsia"/>
          <w:sz w:val="24"/>
          <w:szCs w:val="24"/>
        </w:rPr>
        <w:t>1、对采购项目的理解：包括项目的所有分解目标理解，项目重点、难点等</w:t>
      </w:r>
    </w:p>
    <w:p>
      <w:pPr>
        <w:spacing w:before="156" w:beforeLines="50" w:line="400" w:lineRule="exact"/>
        <w:ind w:firstLine="480" w:firstLineChars="200"/>
        <w:rPr>
          <w:sz w:val="24"/>
          <w:szCs w:val="24"/>
        </w:rPr>
      </w:pPr>
      <w:r>
        <w:rPr>
          <w:rFonts w:hint="eastAsia"/>
          <w:sz w:val="24"/>
          <w:szCs w:val="24"/>
        </w:rPr>
        <w:t>通过对招标文件工程概况以及采购内容的解读与分析，结合我方技术特点与优势，对项目目标、重点、难点理解如下：</w:t>
      </w:r>
    </w:p>
    <w:p>
      <w:pPr>
        <w:spacing w:before="156" w:beforeLines="50" w:line="300" w:lineRule="auto"/>
        <w:rPr>
          <w:b/>
          <w:bCs/>
          <w:sz w:val="24"/>
          <w:szCs w:val="24"/>
          <w:u w:val="single"/>
        </w:rPr>
      </w:pPr>
      <w:r>
        <w:rPr>
          <w:rFonts w:hint="eastAsia"/>
          <w:b/>
          <w:bCs/>
          <w:sz w:val="24"/>
          <w:szCs w:val="24"/>
          <w:u w:val="single"/>
        </w:rPr>
        <w:t>1）项目背景与现状</w:t>
      </w:r>
    </w:p>
    <w:p>
      <w:pPr>
        <w:spacing w:line="400" w:lineRule="exact"/>
        <w:ind w:firstLine="480" w:firstLineChars="200"/>
        <w:rPr>
          <w:rFonts w:ascii="宋体" w:hAnsi="宋体"/>
          <w:sz w:val="24"/>
          <w:szCs w:val="24"/>
        </w:rPr>
      </w:pPr>
      <w:r>
        <w:rPr>
          <w:rFonts w:hint="eastAsia" w:ascii="宋体" w:hAnsi="宋体"/>
          <w:sz w:val="24"/>
          <w:szCs w:val="24"/>
        </w:rPr>
        <w:t>110kV金沙站等8座变电站10kV大电流开关柜型号为：KYN28A-12中置式手车柜，目前存在问题：10kV大电流开关柜型，该开关柜由于长期重载运行，负载电流在导磁材料上形成涡流造成柜体发热，并且散热装置运行是否正常无法观察和辨识，柜内散热效果不能满足安全运行要求，为提高设备运行可靠性，本期将开关柜散热装置进行智能化升级维修，总共进行10面开关柜升级维修。</w:t>
      </w:r>
    </w:p>
    <w:p>
      <w:pPr>
        <w:spacing w:line="400" w:lineRule="exact"/>
        <w:ind w:firstLine="480" w:firstLineChars="200"/>
        <w:rPr>
          <w:rFonts w:ascii="宋体" w:hAnsi="宋体"/>
          <w:sz w:val="24"/>
          <w:szCs w:val="24"/>
        </w:rPr>
      </w:pPr>
      <w:r>
        <w:rPr>
          <w:rFonts w:ascii="宋体" w:hAnsi="宋体"/>
          <w:sz w:val="24"/>
          <w:szCs w:val="24"/>
        </w:rPr>
        <w:t>升级</w:t>
      </w:r>
      <w:r>
        <w:rPr>
          <w:rFonts w:hint="eastAsia" w:ascii="宋体" w:hAnsi="宋体"/>
          <w:sz w:val="24"/>
          <w:szCs w:val="24"/>
        </w:rPr>
        <w:t>改造</w:t>
      </w:r>
      <w:r>
        <w:rPr>
          <w:rFonts w:ascii="宋体" w:hAnsi="宋体"/>
          <w:sz w:val="24"/>
          <w:szCs w:val="24"/>
        </w:rPr>
        <w:t>后的控制器具有实时在线监测功能，控制器可以同时监测二次负荷电流，温度，湿度、散热（除湿）装置运行电流、散热（除湿）装置运行</w:t>
      </w:r>
      <w:r>
        <w:rPr>
          <w:rFonts w:hint="eastAsia" w:ascii="宋体" w:hAnsi="宋体"/>
          <w:sz w:val="24"/>
          <w:szCs w:val="24"/>
        </w:rPr>
        <w:t>时长</w:t>
      </w:r>
      <w:r>
        <w:rPr>
          <w:rFonts w:ascii="宋体" w:hAnsi="宋体"/>
          <w:sz w:val="24"/>
          <w:szCs w:val="24"/>
        </w:rPr>
        <w:t>等参数。大电流开关柜散热（除湿）装置控制器为一体式设计，同时自带可视化展示功能，散热（除湿）装置自适应启停、分组启动、运行工况监视、寿命监测等功能，散热（除湿）装置故障定位与告警功能，不同时段自动切换与装置启停阈值自动调整功能，散热装置电源失压告警功能。高效地监视现场大电流开关柜柜内运行环境，保证大电流开关柜安全稳定运行。</w:t>
      </w:r>
    </w:p>
    <w:p>
      <w:pPr>
        <w:spacing w:before="156" w:beforeLines="50" w:line="400" w:lineRule="exact"/>
        <w:rPr>
          <w:b/>
          <w:bCs/>
          <w:sz w:val="24"/>
          <w:szCs w:val="24"/>
          <w:u w:val="single"/>
        </w:rPr>
      </w:pPr>
      <w:r>
        <w:rPr>
          <w:rFonts w:hint="eastAsia"/>
          <w:b/>
          <w:bCs/>
          <w:sz w:val="24"/>
          <w:szCs w:val="24"/>
          <w:u w:val="single"/>
        </w:rPr>
        <w:t>2）项目目标</w:t>
      </w:r>
    </w:p>
    <w:p>
      <w:pPr>
        <w:spacing w:line="400" w:lineRule="exact"/>
        <w:ind w:firstLine="480" w:firstLineChars="200"/>
        <w:rPr>
          <w:b/>
          <w:bCs/>
          <w:sz w:val="24"/>
          <w:szCs w:val="24"/>
          <w:u w:val="single"/>
        </w:rPr>
      </w:pPr>
      <w:r>
        <w:rPr>
          <w:rFonts w:hint="eastAsia"/>
          <w:sz w:val="24"/>
          <w:szCs w:val="24"/>
        </w:rPr>
        <w:t>项目的整体目标</w:t>
      </w:r>
      <w:r>
        <w:rPr>
          <w:rFonts w:hint="eastAsia" w:ascii="宋体" w:hAnsi="宋体"/>
          <w:sz w:val="24"/>
          <w:szCs w:val="24"/>
        </w:rPr>
        <w:t>110kV金沙站等8座变电站共计10面10kV大电流开关柜散热装置进行智能化升级维修与技术改造，实现散热(除湿</w:t>
      </w:r>
      <w:r>
        <w:rPr>
          <w:rFonts w:ascii="宋体" w:hAnsi="宋体"/>
          <w:sz w:val="24"/>
          <w:szCs w:val="24"/>
        </w:rPr>
        <w:t>)</w:t>
      </w:r>
      <w:r>
        <w:rPr>
          <w:rFonts w:hint="eastAsia" w:ascii="宋体" w:hAnsi="宋体"/>
          <w:sz w:val="24"/>
          <w:szCs w:val="24"/>
        </w:rPr>
        <w:t>装置的在线监测功能，通过技术改造加装专门控制器，实现</w:t>
      </w:r>
      <w:r>
        <w:rPr>
          <w:rFonts w:ascii="宋体" w:hAnsi="宋体"/>
          <w:sz w:val="24"/>
          <w:szCs w:val="24"/>
        </w:rPr>
        <w:t>二次负荷电流，温度，湿度、散热（除湿）装置运行电流、散热（除湿）装置运行</w:t>
      </w:r>
      <w:r>
        <w:rPr>
          <w:rFonts w:hint="eastAsia" w:ascii="宋体" w:hAnsi="宋体"/>
          <w:sz w:val="24"/>
          <w:szCs w:val="24"/>
        </w:rPr>
        <w:t>时长</w:t>
      </w:r>
      <w:r>
        <w:rPr>
          <w:rFonts w:ascii="宋体" w:hAnsi="宋体"/>
          <w:sz w:val="24"/>
          <w:szCs w:val="24"/>
        </w:rPr>
        <w:t>等参数</w:t>
      </w:r>
      <w:r>
        <w:rPr>
          <w:rFonts w:hint="eastAsia" w:ascii="宋体" w:hAnsi="宋体"/>
          <w:sz w:val="24"/>
          <w:szCs w:val="24"/>
        </w:rPr>
        <w:t>的即时监测，并依据工况实现告警与</w:t>
      </w:r>
      <w:r>
        <w:rPr>
          <w:rFonts w:ascii="宋体" w:hAnsi="宋体"/>
          <w:sz w:val="24"/>
          <w:szCs w:val="24"/>
        </w:rPr>
        <w:t>装置启停阈值自动调整</w:t>
      </w:r>
      <w:r>
        <w:rPr>
          <w:rFonts w:hint="eastAsia" w:ascii="宋体" w:hAnsi="宋体"/>
          <w:sz w:val="24"/>
          <w:szCs w:val="24"/>
        </w:rPr>
        <w:t>等</w:t>
      </w:r>
      <w:r>
        <w:rPr>
          <w:rFonts w:ascii="宋体" w:hAnsi="宋体"/>
          <w:sz w:val="24"/>
          <w:szCs w:val="24"/>
        </w:rPr>
        <w:t>功能</w:t>
      </w:r>
      <w:r>
        <w:rPr>
          <w:rFonts w:hint="eastAsia" w:ascii="宋体" w:hAnsi="宋体"/>
          <w:sz w:val="24"/>
          <w:szCs w:val="24"/>
        </w:rPr>
        <w:t>。具体技术目标如下：</w:t>
      </w:r>
    </w:p>
    <w:p>
      <w:pPr>
        <w:pStyle w:val="179"/>
        <w:numPr>
          <w:ilvl w:val="0"/>
          <w:numId w:val="4"/>
        </w:numPr>
        <w:spacing w:line="400" w:lineRule="exact"/>
        <w:ind w:firstLineChars="0"/>
        <w:rPr>
          <w:rFonts w:ascii="宋体" w:hAnsi="宋体"/>
          <w:sz w:val="24"/>
          <w:szCs w:val="24"/>
        </w:rPr>
      </w:pPr>
      <w:r>
        <w:rPr>
          <w:rFonts w:hint="eastAsia" w:ascii="宋体" w:hAnsi="宋体"/>
          <w:b/>
          <w:bCs/>
          <w:sz w:val="24"/>
          <w:szCs w:val="24"/>
        </w:rPr>
        <w:t>数据可视化监控：</w:t>
      </w:r>
      <w:r>
        <w:rPr>
          <w:rFonts w:hint="eastAsia" w:ascii="宋体" w:hAnsi="宋体"/>
          <w:sz w:val="24"/>
          <w:szCs w:val="24"/>
        </w:rPr>
        <w:t>实时监测大电流柜二次负荷电流，温度，湿度、散热（除湿）装置运行电流、散热（除湿）装置等参数。</w:t>
      </w:r>
    </w:p>
    <w:p>
      <w:pPr>
        <w:pStyle w:val="179"/>
        <w:numPr>
          <w:ilvl w:val="0"/>
          <w:numId w:val="4"/>
        </w:numPr>
        <w:spacing w:line="400" w:lineRule="exact"/>
        <w:ind w:firstLineChars="0"/>
        <w:rPr>
          <w:rFonts w:ascii="宋体" w:hAnsi="宋体"/>
          <w:sz w:val="24"/>
          <w:szCs w:val="24"/>
        </w:rPr>
      </w:pPr>
      <w:r>
        <w:rPr>
          <w:rFonts w:hint="eastAsia" w:ascii="宋体" w:hAnsi="宋体"/>
          <w:b/>
          <w:bCs/>
          <w:sz w:val="24"/>
          <w:szCs w:val="24"/>
        </w:rPr>
        <w:t>设备集中化控制：</w:t>
      </w:r>
      <w:r>
        <w:rPr>
          <w:rFonts w:hint="eastAsia" w:ascii="宋体" w:hAnsi="宋体"/>
          <w:sz w:val="24"/>
          <w:szCs w:val="24"/>
        </w:rPr>
        <w:t>将已采集的负荷电流、各器室温度等信息通过微控制单元（</w:t>
      </w:r>
      <w:r>
        <w:rPr>
          <w:rFonts w:ascii="宋体" w:hAnsi="宋体"/>
          <w:sz w:val="24"/>
          <w:szCs w:val="24"/>
        </w:rPr>
        <w:t>MCU），包括负载阀值、温度控制器、时钟控制器等进行处理，并输出相应控制信号。</w:t>
      </w:r>
    </w:p>
    <w:p>
      <w:pPr>
        <w:pStyle w:val="179"/>
        <w:numPr>
          <w:ilvl w:val="0"/>
          <w:numId w:val="4"/>
        </w:numPr>
        <w:spacing w:line="400" w:lineRule="exact"/>
        <w:ind w:firstLineChars="0"/>
        <w:rPr>
          <w:rFonts w:ascii="宋体" w:hAnsi="宋体"/>
          <w:sz w:val="24"/>
          <w:szCs w:val="24"/>
        </w:rPr>
      </w:pPr>
      <w:r>
        <w:rPr>
          <w:rFonts w:hint="eastAsia" w:ascii="宋体" w:hAnsi="宋体"/>
          <w:b/>
          <w:bCs/>
          <w:sz w:val="24"/>
          <w:szCs w:val="24"/>
        </w:rPr>
        <w:t>风机智能化启停</w:t>
      </w:r>
      <w:r>
        <w:rPr>
          <w:rFonts w:hint="eastAsia" w:ascii="宋体" w:hAnsi="宋体"/>
          <w:sz w:val="24"/>
          <w:szCs w:val="24"/>
        </w:rPr>
        <w:t>：利用负荷电流与器室温度在逻辑上的交叉，通过不同逻辑设置电流、温度阈值，并实现分组启动散热风机，既能保证各器室的散热效果，又能延长灌流风机和轴流风机的寿命。</w:t>
      </w:r>
    </w:p>
    <w:p>
      <w:pPr>
        <w:pStyle w:val="179"/>
        <w:numPr>
          <w:ilvl w:val="0"/>
          <w:numId w:val="4"/>
        </w:numPr>
        <w:spacing w:line="400" w:lineRule="exact"/>
        <w:ind w:firstLineChars="0"/>
        <w:rPr>
          <w:rFonts w:ascii="宋体" w:hAnsi="宋体"/>
          <w:sz w:val="24"/>
          <w:szCs w:val="24"/>
        </w:rPr>
      </w:pPr>
      <w:r>
        <w:rPr>
          <w:rFonts w:hint="eastAsia" w:ascii="宋体" w:hAnsi="宋体"/>
          <w:b/>
          <w:bCs/>
          <w:sz w:val="24"/>
          <w:szCs w:val="24"/>
        </w:rPr>
        <w:t>告警精确化管理：</w:t>
      </w:r>
      <w:r>
        <w:rPr>
          <w:rFonts w:hint="eastAsia" w:ascii="宋体" w:hAnsi="宋体"/>
          <w:sz w:val="24"/>
          <w:szCs w:val="24"/>
        </w:rPr>
        <w:t>实现对每个轴流风机状态实时在线监测，准确并及时判定故障的风机。快速输出故障风机的对应编号，并发出提示信息，便于运维人员和检修人员观察。同时实现对性能指标的监测，掌握设备劣化趋势。</w:t>
      </w:r>
    </w:p>
    <w:p>
      <w:pPr>
        <w:spacing w:before="156" w:beforeLines="50" w:line="400" w:lineRule="exact"/>
        <w:rPr>
          <w:b/>
          <w:bCs/>
          <w:sz w:val="24"/>
          <w:szCs w:val="24"/>
          <w:u w:val="single"/>
        </w:rPr>
      </w:pPr>
      <w:r>
        <w:rPr>
          <w:rFonts w:hint="eastAsia"/>
          <w:b/>
          <w:bCs/>
          <w:sz w:val="24"/>
          <w:szCs w:val="24"/>
          <w:u w:val="single"/>
        </w:rPr>
        <w:t>3）项目难点和特点</w:t>
      </w:r>
    </w:p>
    <w:p>
      <w:pPr>
        <w:spacing w:line="400" w:lineRule="exact"/>
        <w:ind w:firstLine="480" w:firstLineChars="200"/>
        <w:rPr>
          <w:sz w:val="24"/>
          <w:szCs w:val="24"/>
        </w:rPr>
      </w:pPr>
      <w:r>
        <w:rPr>
          <w:rFonts w:hint="eastAsia"/>
          <w:sz w:val="24"/>
          <w:szCs w:val="24"/>
        </w:rPr>
        <w:t>通过对此次</w:t>
      </w:r>
      <w:r>
        <w:rPr>
          <w:color w:val="000000"/>
          <w:sz w:val="24"/>
          <w:szCs w:val="24"/>
        </w:rPr>
        <w:t>大电流开关柜散热（除湿）装置控制器控制</w:t>
      </w:r>
      <w:r>
        <w:rPr>
          <w:rFonts w:hint="eastAsia"/>
          <w:sz w:val="24"/>
          <w:szCs w:val="24"/>
        </w:rPr>
        <w:t>改造升级和技术服务要点的理解，结合我方技术基础与工程经验，分析项目难点和特点如下：</w:t>
      </w:r>
    </w:p>
    <w:p>
      <w:pPr>
        <w:pStyle w:val="179"/>
        <w:numPr>
          <w:ilvl w:val="0"/>
          <w:numId w:val="5"/>
        </w:numPr>
        <w:spacing w:line="400" w:lineRule="exact"/>
        <w:ind w:firstLineChars="0"/>
        <w:rPr>
          <w:sz w:val="24"/>
          <w:szCs w:val="24"/>
        </w:rPr>
      </w:pPr>
      <w:r>
        <w:rPr>
          <w:rFonts w:hint="eastAsia"/>
          <w:sz w:val="24"/>
          <w:szCs w:val="24"/>
        </w:rPr>
        <w:t>通过技术升级实现风机实时</w:t>
      </w:r>
      <w:r>
        <w:rPr>
          <w:sz w:val="24"/>
          <w:szCs w:val="24"/>
        </w:rPr>
        <w:t>监控</w:t>
      </w:r>
    </w:p>
    <w:p>
      <w:pPr>
        <w:spacing w:line="400" w:lineRule="exact"/>
        <w:ind w:firstLine="480" w:firstLineChars="200"/>
        <w:rPr>
          <w:sz w:val="24"/>
          <w:szCs w:val="24"/>
        </w:rPr>
      </w:pPr>
      <w:r>
        <w:rPr>
          <w:rFonts w:hint="eastAsia"/>
          <w:sz w:val="24"/>
          <w:szCs w:val="24"/>
        </w:rPr>
        <w:t>1）实时监控大电流开关柜的柜内</w:t>
      </w:r>
      <w:r>
        <w:rPr>
          <w:sz w:val="24"/>
          <w:szCs w:val="24"/>
        </w:rPr>
        <w:t>温度、湿度、</w:t>
      </w:r>
      <w:r>
        <w:rPr>
          <w:rFonts w:hint="eastAsia"/>
          <w:sz w:val="24"/>
          <w:szCs w:val="24"/>
        </w:rPr>
        <w:t>负荷</w:t>
      </w:r>
      <w:r>
        <w:rPr>
          <w:sz w:val="24"/>
          <w:szCs w:val="24"/>
        </w:rPr>
        <w:t>电流</w:t>
      </w:r>
      <w:r>
        <w:rPr>
          <w:rFonts w:hint="eastAsia"/>
          <w:sz w:val="24"/>
          <w:szCs w:val="24"/>
        </w:rPr>
        <w:t>（二次）</w:t>
      </w:r>
      <w:r>
        <w:rPr>
          <w:sz w:val="24"/>
          <w:szCs w:val="24"/>
        </w:rPr>
        <w:t>、</w:t>
      </w:r>
      <w:r>
        <w:rPr>
          <w:rFonts w:hint="eastAsia"/>
          <w:sz w:val="24"/>
          <w:szCs w:val="24"/>
        </w:rPr>
        <w:t>散热（除湿）装置运行</w:t>
      </w:r>
      <w:r>
        <w:rPr>
          <w:sz w:val="24"/>
          <w:szCs w:val="24"/>
        </w:rPr>
        <w:t>电流</w:t>
      </w:r>
      <w:r>
        <w:rPr>
          <w:rFonts w:hint="eastAsia"/>
          <w:sz w:val="24"/>
          <w:szCs w:val="24"/>
        </w:rPr>
        <w:t>等数据</w:t>
      </w:r>
      <w:r>
        <w:rPr>
          <w:sz w:val="24"/>
          <w:szCs w:val="24"/>
        </w:rPr>
        <w:t>，</w:t>
      </w:r>
      <w:r>
        <w:rPr>
          <w:rFonts w:hint="eastAsia"/>
          <w:sz w:val="24"/>
          <w:szCs w:val="24"/>
        </w:rPr>
        <w:t>数据</w:t>
      </w:r>
      <w:r>
        <w:rPr>
          <w:sz w:val="24"/>
          <w:szCs w:val="24"/>
        </w:rPr>
        <w:t>时延可控制在秒级。</w:t>
      </w:r>
    </w:p>
    <w:p>
      <w:pPr>
        <w:pStyle w:val="179"/>
        <w:numPr>
          <w:ilvl w:val="0"/>
          <w:numId w:val="5"/>
        </w:numPr>
        <w:spacing w:line="400" w:lineRule="exact"/>
        <w:ind w:firstLineChars="0"/>
        <w:rPr>
          <w:sz w:val="24"/>
          <w:szCs w:val="24"/>
        </w:rPr>
      </w:pPr>
      <w:r>
        <w:rPr>
          <w:rFonts w:hint="eastAsia"/>
          <w:sz w:val="24"/>
          <w:szCs w:val="24"/>
        </w:rPr>
        <w:t>改造后支持多维交叉的策略配置</w:t>
      </w:r>
      <w:r>
        <w:rPr>
          <w:sz w:val="24"/>
          <w:szCs w:val="24"/>
        </w:rPr>
        <w:t>，灵活控制</w:t>
      </w:r>
      <w:r>
        <w:rPr>
          <w:rFonts w:hint="eastAsia"/>
          <w:sz w:val="24"/>
          <w:szCs w:val="24"/>
        </w:rPr>
        <w:t>散热（除湿）装置的智能</w:t>
      </w:r>
      <w:r>
        <w:rPr>
          <w:sz w:val="24"/>
          <w:szCs w:val="24"/>
        </w:rPr>
        <w:t>启停</w:t>
      </w:r>
      <w:r>
        <w:rPr>
          <w:rFonts w:hint="eastAsia"/>
          <w:sz w:val="24"/>
          <w:szCs w:val="24"/>
        </w:rPr>
        <w:t>。</w:t>
      </w:r>
    </w:p>
    <w:p>
      <w:pPr>
        <w:spacing w:line="400" w:lineRule="exact"/>
        <w:ind w:firstLine="480" w:firstLineChars="200"/>
        <w:rPr>
          <w:rFonts w:ascii="Times New Roman" w:hAnsi="Times New Roman"/>
          <w:sz w:val="24"/>
          <w:szCs w:val="24"/>
        </w:rPr>
      </w:pPr>
      <w:r>
        <w:rPr>
          <w:rFonts w:hint="eastAsia"/>
          <w:sz w:val="24"/>
          <w:szCs w:val="24"/>
        </w:rPr>
        <w:t>1）可</w:t>
      </w:r>
      <w:r>
        <w:rPr>
          <w:sz w:val="24"/>
          <w:szCs w:val="24"/>
        </w:rPr>
        <w:t>灵活配置</w:t>
      </w:r>
      <w:r>
        <w:rPr>
          <w:rFonts w:hint="eastAsia"/>
          <w:sz w:val="24"/>
          <w:szCs w:val="24"/>
        </w:rPr>
        <w:t>散热（除湿）装置的启动和停止策略，根据温湿度</w:t>
      </w:r>
      <w:r>
        <w:rPr>
          <w:sz w:val="24"/>
          <w:szCs w:val="24"/>
        </w:rPr>
        <w:t>阈值</w:t>
      </w:r>
      <w:r>
        <w:rPr>
          <w:rFonts w:hint="eastAsia"/>
          <w:sz w:val="24"/>
          <w:szCs w:val="24"/>
        </w:rPr>
        <w:t>和采集到的实时</w:t>
      </w:r>
      <w:r>
        <w:rPr>
          <w:sz w:val="24"/>
          <w:szCs w:val="24"/>
        </w:rPr>
        <w:t>数据自动远程</w:t>
      </w:r>
      <w:r>
        <w:rPr>
          <w:rFonts w:hint="eastAsia"/>
          <w:sz w:val="24"/>
          <w:szCs w:val="24"/>
        </w:rPr>
        <w:t>启</w:t>
      </w:r>
      <w:r>
        <w:rPr>
          <w:rFonts w:ascii="Times New Roman" w:hAnsi="Times New Roman"/>
          <w:sz w:val="24"/>
          <w:szCs w:val="24"/>
        </w:rPr>
        <w:t>动或停止相关设备，保障高压开关柜柜内温升在可控范围内。</w:t>
      </w:r>
    </w:p>
    <w:p>
      <w:pPr>
        <w:spacing w:line="400" w:lineRule="exact"/>
        <w:ind w:firstLine="480" w:firstLineChars="200"/>
        <w:rPr>
          <w:rFonts w:ascii="Times New Roman" w:hAnsi="Times New Roman"/>
          <w:sz w:val="24"/>
          <w:szCs w:val="24"/>
        </w:rPr>
      </w:pPr>
      <w:r>
        <w:rPr>
          <w:rFonts w:ascii="Times New Roman" w:hAnsi="Times New Roman"/>
          <w:sz w:val="24"/>
          <w:szCs w:val="24"/>
        </w:rPr>
        <w:t>2）可灵活配置单个、多个散热（除湿）装置的启动和停止，单机最多支持7路散热装置和2路除湿装置控制，并且数据采集器支持多级级联，可根据现场实际情况控制N*7路散热装置和M*2路除湿装置。</w:t>
      </w:r>
    </w:p>
    <w:p>
      <w:pPr>
        <w:spacing w:line="400" w:lineRule="exact"/>
        <w:ind w:firstLine="480" w:firstLineChars="200"/>
        <w:rPr>
          <w:rFonts w:ascii="Times New Roman" w:hAnsi="Times New Roman"/>
          <w:sz w:val="24"/>
          <w:szCs w:val="24"/>
        </w:rPr>
      </w:pPr>
      <w:r>
        <w:rPr>
          <w:rFonts w:ascii="Times New Roman" w:hAnsi="Times New Roman"/>
          <w:sz w:val="24"/>
          <w:szCs w:val="24"/>
        </w:rPr>
        <w:t>3）可灵活启停模式，支持自动启停模式和手动启停模式。</w:t>
      </w:r>
    </w:p>
    <w:p>
      <w:pPr>
        <w:spacing w:line="400" w:lineRule="exact"/>
        <w:ind w:firstLine="480" w:firstLineChars="200"/>
        <w:rPr>
          <w:rFonts w:ascii="Times New Roman" w:hAnsi="Times New Roman"/>
          <w:sz w:val="24"/>
          <w:szCs w:val="24"/>
        </w:rPr>
      </w:pPr>
      <w:r>
        <w:rPr>
          <w:rFonts w:ascii="Times New Roman" w:hAnsi="Times New Roman"/>
          <w:sz w:val="24"/>
          <w:szCs w:val="24"/>
        </w:rPr>
        <w:t>4）不同时间段自动切换，用户可根据现场实际情况设置迎峰度夏、迎峰度冬和平时段的时间，装置可自动切换时间段，自动完成散热（除湿）装置的启停策略配置。</w:t>
      </w:r>
    </w:p>
    <w:p>
      <w:pPr>
        <w:pStyle w:val="179"/>
        <w:numPr>
          <w:ilvl w:val="0"/>
          <w:numId w:val="5"/>
        </w:numPr>
        <w:spacing w:line="400" w:lineRule="exact"/>
        <w:ind w:firstLineChars="0"/>
        <w:rPr>
          <w:rFonts w:ascii="Times New Roman" w:hAnsi="Times New Roman"/>
          <w:sz w:val="24"/>
          <w:szCs w:val="24"/>
        </w:rPr>
      </w:pPr>
      <w:r>
        <w:rPr>
          <w:rFonts w:ascii="Times New Roman" w:hAnsi="Times New Roman"/>
          <w:sz w:val="24"/>
          <w:szCs w:val="24"/>
        </w:rPr>
        <w:t>相关通信模块的技术改造应具有物联网通信能力</w:t>
      </w:r>
    </w:p>
    <w:p>
      <w:pPr>
        <w:spacing w:line="400" w:lineRule="exact"/>
        <w:ind w:firstLine="480" w:firstLineChars="200"/>
        <w:rPr>
          <w:rFonts w:ascii="Times New Roman" w:hAnsi="Times New Roman"/>
          <w:sz w:val="24"/>
          <w:szCs w:val="24"/>
        </w:rPr>
      </w:pPr>
      <w:r>
        <w:rPr>
          <w:rFonts w:ascii="Times New Roman" w:hAnsi="Times New Roman"/>
          <w:sz w:val="24"/>
          <w:szCs w:val="24"/>
        </w:rPr>
        <w:t>1）应具有联网功能，可支持4G、5G及Wifi三种方式</w:t>
      </w:r>
    </w:p>
    <w:p>
      <w:pPr>
        <w:spacing w:line="400" w:lineRule="exact"/>
        <w:ind w:firstLine="480" w:firstLineChars="200"/>
        <w:rPr>
          <w:rFonts w:ascii="Times New Roman" w:hAnsi="Times New Roman"/>
          <w:sz w:val="24"/>
          <w:szCs w:val="24"/>
        </w:rPr>
      </w:pPr>
      <w:r>
        <w:rPr>
          <w:rFonts w:ascii="Times New Roman" w:hAnsi="Times New Roman"/>
          <w:sz w:val="24"/>
          <w:szCs w:val="24"/>
        </w:rPr>
        <w:t>2）采用MQTT物联网通信协议，保证消息的可靠送达</w:t>
      </w:r>
    </w:p>
    <w:p>
      <w:pPr>
        <w:spacing w:line="400" w:lineRule="exact"/>
        <w:ind w:firstLine="480" w:firstLineChars="200"/>
        <w:rPr>
          <w:sz w:val="24"/>
          <w:szCs w:val="24"/>
        </w:rPr>
      </w:pPr>
      <w:r>
        <w:rPr>
          <w:rFonts w:hint="eastAsia"/>
          <w:sz w:val="24"/>
          <w:szCs w:val="24"/>
        </w:rPr>
        <w:t>3）具有云监视、云遥控能力</w:t>
      </w:r>
    </w:p>
    <w:p>
      <w:pPr>
        <w:pStyle w:val="179"/>
        <w:numPr>
          <w:ilvl w:val="0"/>
          <w:numId w:val="5"/>
        </w:numPr>
        <w:spacing w:line="400" w:lineRule="exact"/>
        <w:ind w:firstLineChars="0"/>
        <w:rPr>
          <w:sz w:val="24"/>
          <w:szCs w:val="24"/>
        </w:rPr>
      </w:pPr>
      <w:r>
        <w:rPr>
          <w:rFonts w:hint="eastAsia"/>
          <w:sz w:val="24"/>
          <w:szCs w:val="24"/>
        </w:rPr>
        <w:t>具备智能</w:t>
      </w:r>
      <w:r>
        <w:rPr>
          <w:sz w:val="24"/>
          <w:szCs w:val="24"/>
        </w:rPr>
        <w:t>告警</w:t>
      </w:r>
      <w:r>
        <w:rPr>
          <w:rFonts w:hint="eastAsia"/>
          <w:sz w:val="24"/>
          <w:szCs w:val="24"/>
        </w:rPr>
        <w:t>和自动复位能力</w:t>
      </w:r>
    </w:p>
    <w:p>
      <w:pPr>
        <w:spacing w:line="400" w:lineRule="exact"/>
        <w:ind w:firstLine="480" w:firstLineChars="200"/>
        <w:rPr>
          <w:sz w:val="24"/>
          <w:szCs w:val="24"/>
        </w:rPr>
      </w:pPr>
      <w:r>
        <w:rPr>
          <w:rFonts w:hint="eastAsia"/>
          <w:sz w:val="24"/>
          <w:szCs w:val="24"/>
        </w:rPr>
        <w:t>1）大电流开关柜柜内</w:t>
      </w:r>
      <w:r>
        <w:rPr>
          <w:sz w:val="24"/>
          <w:szCs w:val="24"/>
        </w:rPr>
        <w:t>环境</w:t>
      </w:r>
      <w:r>
        <w:rPr>
          <w:rFonts w:hint="eastAsia"/>
          <w:sz w:val="24"/>
          <w:szCs w:val="24"/>
        </w:rPr>
        <w:t>发生异常及时进行告警</w:t>
      </w:r>
    </w:p>
    <w:p>
      <w:pPr>
        <w:spacing w:line="400" w:lineRule="exact"/>
        <w:ind w:firstLine="480" w:firstLineChars="200"/>
        <w:rPr>
          <w:sz w:val="24"/>
          <w:szCs w:val="24"/>
        </w:rPr>
      </w:pPr>
      <w:r>
        <w:rPr>
          <w:rFonts w:hint="eastAsia"/>
          <w:sz w:val="24"/>
          <w:szCs w:val="24"/>
        </w:rPr>
        <w:t>2）可灵活配置告警自动复位周期</w:t>
      </w:r>
    </w:p>
    <w:p>
      <w:pPr>
        <w:spacing w:line="400" w:lineRule="exact"/>
        <w:ind w:firstLine="480" w:firstLineChars="200"/>
        <w:rPr>
          <w:sz w:val="24"/>
          <w:szCs w:val="24"/>
        </w:rPr>
      </w:pPr>
      <w:r>
        <w:rPr>
          <w:rFonts w:hint="eastAsia"/>
          <w:sz w:val="24"/>
          <w:szCs w:val="24"/>
        </w:rPr>
        <w:t>3）可支持告警语音提示</w:t>
      </w:r>
    </w:p>
    <w:p>
      <w:pPr>
        <w:pStyle w:val="179"/>
        <w:numPr>
          <w:ilvl w:val="0"/>
          <w:numId w:val="5"/>
        </w:numPr>
        <w:spacing w:line="400" w:lineRule="exact"/>
        <w:ind w:firstLineChars="0"/>
        <w:rPr>
          <w:sz w:val="24"/>
          <w:szCs w:val="24"/>
        </w:rPr>
      </w:pPr>
      <w:r>
        <w:rPr>
          <w:rFonts w:hint="eastAsia"/>
          <w:sz w:val="24"/>
          <w:szCs w:val="24"/>
        </w:rPr>
        <w:t>相关技术升级后应具备模型计算与本地分析能力</w:t>
      </w:r>
    </w:p>
    <w:p>
      <w:pPr>
        <w:spacing w:line="400" w:lineRule="exact"/>
        <w:ind w:firstLine="480" w:firstLineChars="200"/>
        <w:rPr>
          <w:sz w:val="24"/>
          <w:szCs w:val="24"/>
        </w:rPr>
      </w:pPr>
      <w:r>
        <w:rPr>
          <w:rFonts w:hint="eastAsia"/>
          <w:sz w:val="24"/>
          <w:szCs w:val="24"/>
        </w:rPr>
        <w:t>1）基于散热装置工作电流数据构建散热风机状态评估决策模型</w:t>
      </w:r>
    </w:p>
    <w:p>
      <w:pPr>
        <w:spacing w:line="400" w:lineRule="exact"/>
        <w:ind w:firstLine="480" w:firstLineChars="200"/>
        <w:rPr>
          <w:sz w:val="24"/>
          <w:szCs w:val="24"/>
        </w:rPr>
      </w:pPr>
      <w:r>
        <w:rPr>
          <w:rFonts w:hint="eastAsia"/>
          <w:sz w:val="24"/>
          <w:szCs w:val="24"/>
        </w:rPr>
        <w:t>2）基于负荷电流（二次）和温湿度数据应用数据分析算法构建散热（除湿）装置启停阈值自适应设置</w:t>
      </w:r>
    </w:p>
    <w:p>
      <w:pPr>
        <w:pStyle w:val="179"/>
        <w:numPr>
          <w:ilvl w:val="0"/>
          <w:numId w:val="5"/>
        </w:numPr>
        <w:spacing w:line="400" w:lineRule="exact"/>
        <w:ind w:firstLineChars="0"/>
        <w:rPr>
          <w:sz w:val="24"/>
          <w:szCs w:val="24"/>
        </w:rPr>
      </w:pPr>
      <w:r>
        <w:rPr>
          <w:rFonts w:hint="eastAsia"/>
          <w:sz w:val="24"/>
          <w:szCs w:val="24"/>
        </w:rPr>
        <w:t>支持散热(除湿</w:t>
      </w:r>
      <w:r>
        <w:rPr>
          <w:sz w:val="24"/>
          <w:szCs w:val="24"/>
        </w:rPr>
        <w:t>)</w:t>
      </w:r>
      <w:r>
        <w:rPr>
          <w:rFonts w:hint="eastAsia"/>
          <w:sz w:val="24"/>
          <w:szCs w:val="24"/>
        </w:rPr>
        <w:t>实时数据和历史数据展示</w:t>
      </w:r>
    </w:p>
    <w:p>
      <w:pPr>
        <w:pStyle w:val="179"/>
        <w:numPr>
          <w:ilvl w:val="0"/>
          <w:numId w:val="5"/>
        </w:numPr>
        <w:spacing w:line="400" w:lineRule="exact"/>
        <w:ind w:firstLineChars="0"/>
        <w:rPr>
          <w:sz w:val="24"/>
          <w:szCs w:val="24"/>
        </w:rPr>
      </w:pPr>
      <w:r>
        <w:rPr>
          <w:rFonts w:hint="eastAsia"/>
          <w:sz w:val="24"/>
          <w:szCs w:val="24"/>
        </w:rPr>
        <w:t>技术改造后，可在控制终端界面或移动终端上既可查看散热（除湿）装置的实时运行电流、运行状态等信息，也可查看负荷电流（二次）、温湿度等实时信息，还可查看历史数据信息</w:t>
      </w:r>
    </w:p>
    <w:p>
      <w:pPr>
        <w:pStyle w:val="3"/>
        <w:pageBreakBefore/>
        <w:rPr>
          <w:sz w:val="24"/>
          <w:szCs w:val="24"/>
        </w:rPr>
      </w:pPr>
      <w:r>
        <w:rPr>
          <w:rFonts w:hint="eastAsia"/>
          <w:sz w:val="24"/>
          <w:szCs w:val="24"/>
        </w:rPr>
        <w:t>2、应答人承担项目优势：包括应答人与采购项目有关的专题研究、科技成果或产品开发情况，应答人拥有的专利或专有技术等</w:t>
      </w:r>
    </w:p>
    <w:p>
      <w:pPr>
        <w:spacing w:before="156" w:beforeLines="50" w:after="156" w:afterLines="50" w:line="400" w:lineRule="exact"/>
        <w:rPr>
          <w:b/>
          <w:bCs/>
          <w:sz w:val="24"/>
          <w:szCs w:val="24"/>
          <w:u w:val="single"/>
        </w:rPr>
      </w:pPr>
      <w:r>
        <w:rPr>
          <w:rFonts w:hint="eastAsia"/>
          <w:b/>
          <w:bCs/>
          <w:sz w:val="24"/>
          <w:szCs w:val="24"/>
          <w:u w:val="single"/>
        </w:rPr>
        <w:t>1）与采购项目有关的专题研究与科技成果</w:t>
      </w:r>
    </w:p>
    <w:p>
      <w:pPr>
        <w:spacing w:line="400" w:lineRule="exact"/>
        <w:ind w:firstLine="480" w:firstLineChars="200"/>
        <w:rPr>
          <w:sz w:val="24"/>
          <w:szCs w:val="24"/>
        </w:rPr>
      </w:pPr>
      <w:r>
        <w:rPr>
          <w:rFonts w:hint="eastAsia"/>
          <w:sz w:val="24"/>
          <w:szCs w:val="24"/>
        </w:rPr>
        <w:t>应答人团队于近年承担了国网天府供电公司“集成弧光保护的开关柜故障监测、防控与事故追溯一体化系统”、山西阳泉供电公司“基于振动信号的电力变压器铁芯及绕组故障诊断技术研究”、四川电科院“均匀高温绝缘配电变压器热老化试验及样机研制”、南充供电公司“组合电器内部温度振动的数据关联性研究技术服务”等一系列设备研制、改造升级、技术服务等项目，依托学校科研实力与现场技术改造实践，取得了部分关键技术突破，累积了一批输变电设备状态监测领域科技成果。相关技术在现场使用稳定，切实解决了高压开关柜智能辅助巡检、输变电设备缺陷诊断、开关柜温湿度告警与数据深度分析等技术问题，提高了相关领域运检人员工作效率。</w:t>
      </w:r>
    </w:p>
    <w:p>
      <w:pPr>
        <w:spacing w:line="400" w:lineRule="exact"/>
        <w:ind w:firstLine="480" w:firstLineChars="200"/>
        <w:rPr>
          <w:sz w:val="24"/>
          <w:szCs w:val="24"/>
        </w:rPr>
      </w:pPr>
      <w:r>
        <w:rPr>
          <w:rFonts w:hint="eastAsia"/>
          <w:sz w:val="24"/>
          <w:szCs w:val="24"/>
        </w:rPr>
        <w:t>其中，在天府公司高压开关柜状态监测系统研发与技术改造项目中，应答人技术团队通过新型弧光保护、断路器机械特性、室内红外成像等感知设备，对高压开关柜机械故障、电弧光、局部放电、温湿度等状态参数进行实时监测，构建开关柜全面态势感知平台，通过高频数据采集，结合多维告警规则库，对实时监控数据进行多维分析，确定当前以及未来设备状态，告警时自动通知开关柜运维人员，使运维人员实时掌握设备情况。此外，依托具有四川大学自主知识产权的采集平台，通过提供配置+定制化方式，对不同的通信规约以及通信方式进行兼容和快速支撑，借助大数据技术，综合设备运行和感知数据，及时发现高压开关柜安全隐患，做到提前介入维护，结合实际生产业务，打通设备感知、生产业务流程，实现开关柜设备的全面监测、维护全流程闭环管理等核心功能。相关升级改造与技术服务过程如下如所示：</w:t>
      </w:r>
    </w:p>
    <w:p>
      <w:pPr>
        <w:spacing w:line="300" w:lineRule="auto"/>
        <w:jc w:val="center"/>
      </w:pPr>
      <w:r>
        <w:drawing>
          <wp:inline distT="0" distB="0" distL="0" distR="0">
            <wp:extent cx="3244850" cy="1902460"/>
            <wp:effectExtent l="0" t="0" r="0" b="2540"/>
            <wp:docPr id="9" name="图片 9" descr="E:\智源新能\开关柜状态监测\D.产品文档\A02.硬件资料\机械特性现场安装照片\IMG_20190409_15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智源新能\开关柜状态监测\D.产品文档\A02.硬件资料\机械特性现场安装照片\IMG_20190409_150611.jpg"/>
                    <pic:cNvPicPr>
                      <a:picLocks noChangeAspect="1" noChangeArrowheads="1"/>
                    </pic:cNvPicPr>
                  </pic:nvPicPr>
                  <pic:blipFill>
                    <a:blip r:embed="rId15" cstate="print">
                      <a:extLst>
                        <a:ext uri="{28A0092B-C50C-407E-A947-70E740481C1C}">
                          <a14:useLocalDpi xmlns:a14="http://schemas.microsoft.com/office/drawing/2010/main" val="0"/>
                        </a:ext>
                      </a:extLst>
                    </a:blip>
                    <a:srcRect b="21616"/>
                    <a:stretch>
                      <a:fillRect/>
                    </a:stretch>
                  </pic:blipFill>
                  <pic:spPr>
                    <a:xfrm>
                      <a:off x="0" y="0"/>
                      <a:ext cx="3270144" cy="1917362"/>
                    </a:xfrm>
                    <a:prstGeom prst="rect">
                      <a:avLst/>
                    </a:prstGeom>
                    <a:noFill/>
                    <a:ln>
                      <a:noFill/>
                    </a:ln>
                  </pic:spPr>
                </pic:pic>
              </a:graphicData>
            </a:graphic>
          </wp:inline>
        </w:drawing>
      </w:r>
    </w:p>
    <w:p>
      <w:pPr>
        <w:spacing w:line="300" w:lineRule="auto"/>
        <w:jc w:val="center"/>
        <w:rPr>
          <w:rFonts w:eastAsia="黑体"/>
        </w:rPr>
      </w:pPr>
      <w:r>
        <w:rPr>
          <w:rFonts w:hint="eastAsia" w:eastAsia="黑体"/>
        </w:rPr>
        <w:t>机械特性传感器现场安装与调试</w:t>
      </w:r>
    </w:p>
    <w:p>
      <w:pPr>
        <w:jc w:val="center"/>
        <w:rPr>
          <w:sz w:val="24"/>
          <w:szCs w:val="24"/>
        </w:rPr>
      </w:pPr>
      <w:r>
        <w:drawing>
          <wp:inline distT="0" distB="0" distL="0" distR="0">
            <wp:extent cx="2940685" cy="3060065"/>
            <wp:effectExtent l="0" t="0" r="0" b="6985"/>
            <wp:docPr id="26" name="图片 26" descr="C:\Users\DELL\AppData\Local\Temp\1589794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DELL\AppData\Local\Temp\1589794151(1).png"/>
                    <pic:cNvPicPr>
                      <a:picLocks noChangeAspect="1" noChangeArrowheads="1"/>
                    </pic:cNvPicPr>
                  </pic:nvPicPr>
                  <pic:blipFill>
                    <a:blip r:embed="rId16">
                      <a:extLst>
                        <a:ext uri="{28A0092B-C50C-407E-A947-70E740481C1C}">
                          <a14:useLocalDpi xmlns:a14="http://schemas.microsoft.com/office/drawing/2010/main" val="0"/>
                        </a:ext>
                      </a:extLst>
                    </a:blip>
                    <a:srcRect t="11642"/>
                    <a:stretch>
                      <a:fillRect/>
                    </a:stretch>
                  </pic:blipFill>
                  <pic:spPr>
                    <a:xfrm>
                      <a:off x="0" y="0"/>
                      <a:ext cx="2948217" cy="3067828"/>
                    </a:xfrm>
                    <a:prstGeom prst="rect">
                      <a:avLst/>
                    </a:prstGeom>
                    <a:noFill/>
                    <a:ln>
                      <a:noFill/>
                    </a:ln>
                  </pic:spPr>
                </pic:pic>
              </a:graphicData>
            </a:graphic>
          </wp:inline>
        </w:drawing>
      </w:r>
    </w:p>
    <w:p>
      <w:pPr>
        <w:spacing w:line="300" w:lineRule="auto"/>
        <w:jc w:val="center"/>
        <w:rPr>
          <w:rFonts w:eastAsia="黑体"/>
        </w:rPr>
      </w:pPr>
      <w:r>
        <w:rPr>
          <w:rFonts w:hint="eastAsia" w:eastAsia="黑体"/>
        </w:rPr>
        <w:t>接触式测温传感器现场安装与调试</w:t>
      </w:r>
    </w:p>
    <w:p>
      <w:pPr>
        <w:ind w:firstLine="420" w:firstLineChars="200"/>
        <w:jc w:val="center"/>
        <w:rPr>
          <w:sz w:val="24"/>
          <w:szCs w:val="24"/>
        </w:rPr>
      </w:pPr>
      <w:r>
        <w:drawing>
          <wp:inline distT="0" distB="0" distL="0" distR="0">
            <wp:extent cx="3810000" cy="2849880"/>
            <wp:effectExtent l="0" t="0" r="0" b="7620"/>
            <wp:docPr id="27" name="图片 27" descr="E:\智源新能\开关柜状态监测\D.产品文档\A02.硬件资料\机械特性现场安装照片\IMG_20190409_14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智源新能\开关柜状态监测\D.产品文档\A02.硬件资料\机械特性现场安装照片\IMG_20190409_1445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23618" cy="2860117"/>
                    </a:xfrm>
                    <a:prstGeom prst="rect">
                      <a:avLst/>
                    </a:prstGeom>
                    <a:noFill/>
                    <a:ln>
                      <a:noFill/>
                    </a:ln>
                  </pic:spPr>
                </pic:pic>
              </a:graphicData>
            </a:graphic>
          </wp:inline>
        </w:drawing>
      </w:r>
    </w:p>
    <w:p>
      <w:pPr>
        <w:spacing w:line="300" w:lineRule="auto"/>
        <w:jc w:val="center"/>
        <w:rPr>
          <w:rFonts w:eastAsia="黑体"/>
        </w:rPr>
      </w:pPr>
      <w:r>
        <w:rPr>
          <w:rFonts w:hint="eastAsia" w:eastAsia="黑体"/>
        </w:rPr>
        <w:t>开关柜状态数据采集装置现场安装与调试</w:t>
      </w:r>
    </w:p>
    <w:p>
      <w:pPr>
        <w:spacing w:line="400" w:lineRule="exact"/>
        <w:ind w:firstLine="480" w:firstLineChars="200"/>
        <w:rPr>
          <w:sz w:val="24"/>
          <w:szCs w:val="24"/>
        </w:rPr>
      </w:pPr>
      <w:r>
        <w:rPr>
          <w:rFonts w:hint="eastAsia"/>
          <w:sz w:val="24"/>
          <w:szCs w:val="24"/>
        </w:rPr>
        <w:t>上述技术积累，在传感通信、监测模块选型与调试等技术服务环节为本项目的顺利实施奠定了坚实的技术基础，是应答人所具备的优势之一。</w:t>
      </w:r>
    </w:p>
    <w:p>
      <w:pPr>
        <w:spacing w:before="156" w:beforeLines="50" w:after="156" w:afterLines="50" w:line="400" w:lineRule="exact"/>
        <w:rPr>
          <w:b/>
          <w:bCs/>
          <w:sz w:val="24"/>
          <w:szCs w:val="24"/>
          <w:u w:val="single"/>
        </w:rPr>
      </w:pPr>
      <w:r>
        <w:rPr>
          <w:rFonts w:hint="eastAsia"/>
          <w:b/>
          <w:bCs/>
          <w:sz w:val="24"/>
          <w:szCs w:val="24"/>
          <w:u w:val="single"/>
        </w:rPr>
        <w:t>2）应答人拥有的专利或专有技术</w:t>
      </w:r>
    </w:p>
    <w:p>
      <w:pPr>
        <w:spacing w:line="400" w:lineRule="exact"/>
        <w:ind w:firstLine="480" w:firstLineChars="200"/>
        <w:rPr>
          <w:sz w:val="24"/>
          <w:szCs w:val="24"/>
        </w:rPr>
      </w:pPr>
      <w:r>
        <w:rPr>
          <w:rFonts w:hint="eastAsia"/>
          <w:sz w:val="24"/>
          <w:szCs w:val="24"/>
        </w:rPr>
        <w:t>具备输变电设备状态监测与智能自主知识产权研发能力，具备科技成果转化能力，以及关键技术攻关能力，是应答人所具备的优势之二。依托相关技术团队与智能电网四川省重点实验室平台，对断路器、变压器高压开关柜等输变电设备状态监测与智能控制开展研究与技术服务，拥有如下专利：</w:t>
      </w:r>
    </w:p>
    <w:p>
      <w:pPr>
        <w:spacing w:line="400" w:lineRule="exact"/>
        <w:rPr>
          <w:sz w:val="24"/>
          <w:szCs w:val="24"/>
        </w:rPr>
      </w:pPr>
    </w:p>
    <w:p>
      <w:pPr>
        <w:rPr>
          <w:sz w:val="24"/>
          <w:szCs w:val="24"/>
        </w:rPr>
      </w:pPr>
      <w:r>
        <w:drawing>
          <wp:inline distT="0" distB="0" distL="0" distR="0">
            <wp:extent cx="5274310" cy="7313295"/>
            <wp:effectExtent l="0" t="0" r="254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7313295"/>
                    </a:xfrm>
                    <a:prstGeom prst="rect">
                      <a:avLst/>
                    </a:prstGeom>
                    <a:noFill/>
                    <a:ln>
                      <a:noFill/>
                    </a:ln>
                  </pic:spPr>
                </pic:pic>
              </a:graphicData>
            </a:graphic>
          </wp:inline>
        </w:drawing>
      </w:r>
    </w:p>
    <w:p>
      <w:pPr>
        <w:spacing w:line="400" w:lineRule="exact"/>
        <w:rPr>
          <w:sz w:val="24"/>
          <w:szCs w:val="24"/>
        </w:rPr>
      </w:pPr>
    </w:p>
    <w:p>
      <w:pPr>
        <w:spacing w:line="400" w:lineRule="exact"/>
        <w:rPr>
          <w:sz w:val="24"/>
          <w:szCs w:val="24"/>
        </w:rPr>
      </w:pPr>
    </w:p>
    <w:p>
      <w:pPr>
        <w:rPr>
          <w:sz w:val="24"/>
          <w:szCs w:val="24"/>
        </w:rPr>
      </w:pPr>
      <w:r>
        <w:drawing>
          <wp:inline distT="0" distB="0" distL="0" distR="0">
            <wp:extent cx="5274310" cy="73132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rot="10800000">
                      <a:off x="0" y="0"/>
                      <a:ext cx="5274310" cy="7313295"/>
                    </a:xfrm>
                    <a:prstGeom prst="rect">
                      <a:avLst/>
                    </a:prstGeom>
                    <a:noFill/>
                    <a:ln>
                      <a:noFill/>
                    </a:ln>
                  </pic:spPr>
                </pic:pic>
              </a:graphicData>
            </a:graphic>
          </wp:inline>
        </w:drawing>
      </w:r>
    </w:p>
    <w:p>
      <w:pPr>
        <w:spacing w:line="400" w:lineRule="exact"/>
        <w:rPr>
          <w:sz w:val="24"/>
          <w:szCs w:val="24"/>
        </w:rPr>
      </w:pPr>
    </w:p>
    <w:p>
      <w:pPr>
        <w:rPr>
          <w:sz w:val="24"/>
          <w:szCs w:val="24"/>
        </w:rPr>
      </w:pPr>
      <w:r>
        <w:drawing>
          <wp:inline distT="0" distB="0" distL="0" distR="0">
            <wp:extent cx="5274310" cy="7463790"/>
            <wp:effectExtent l="0" t="0" r="25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7463790"/>
                    </a:xfrm>
                    <a:prstGeom prst="rect">
                      <a:avLst/>
                    </a:prstGeom>
                    <a:noFill/>
                    <a:ln>
                      <a:noFill/>
                    </a:ln>
                  </pic:spPr>
                </pic:pic>
              </a:graphicData>
            </a:graphic>
          </wp:inline>
        </w:drawing>
      </w:r>
    </w:p>
    <w:p>
      <w:pPr>
        <w:spacing w:before="156" w:beforeLines="50" w:after="156" w:afterLines="50" w:line="400" w:lineRule="exact"/>
        <w:rPr>
          <w:b/>
          <w:bCs/>
          <w:sz w:val="24"/>
          <w:szCs w:val="24"/>
          <w:u w:val="single"/>
        </w:rPr>
      </w:pPr>
      <w:r>
        <w:rPr>
          <w:rFonts w:hint="eastAsia"/>
          <w:b/>
          <w:bCs/>
          <w:sz w:val="24"/>
          <w:szCs w:val="24"/>
          <w:u w:val="single"/>
        </w:rPr>
        <w:t>3）大电流开关柜散热（除湿）装置控制器改造服务相关技术开发情况</w:t>
      </w:r>
    </w:p>
    <w:p>
      <w:pPr>
        <w:spacing w:line="400" w:lineRule="exact"/>
        <w:ind w:firstLine="480" w:firstLineChars="200"/>
        <w:rPr>
          <w:sz w:val="24"/>
          <w:szCs w:val="24"/>
        </w:rPr>
      </w:pPr>
      <w:r>
        <w:rPr>
          <w:rFonts w:hint="eastAsia"/>
          <w:sz w:val="24"/>
          <w:szCs w:val="24"/>
        </w:rPr>
        <w:t>基于前述技术积累，应答人开发了大电流开关柜散热(除湿</w:t>
      </w:r>
      <w:r>
        <w:rPr>
          <w:sz w:val="24"/>
          <w:szCs w:val="24"/>
        </w:rPr>
        <w:t>)</w:t>
      </w:r>
      <w:r>
        <w:rPr>
          <w:rFonts w:hint="eastAsia"/>
          <w:sz w:val="24"/>
          <w:szCs w:val="24"/>
        </w:rPr>
        <w:t>装置智能控制器及其可视化监控模块，以用于大电流柜改造升级和技术服务，经安装调试后，可实现风机智能启停、缺陷自动告警、散热(除湿</w:t>
      </w:r>
      <w:r>
        <w:rPr>
          <w:sz w:val="24"/>
          <w:szCs w:val="24"/>
        </w:rPr>
        <w:t>)</w:t>
      </w:r>
      <w:r>
        <w:rPr>
          <w:rFonts w:hint="eastAsia"/>
          <w:sz w:val="24"/>
          <w:szCs w:val="24"/>
        </w:rPr>
        <w:t>工作效率历史查询、集约化终端管理等功能，并且便于开关柜运检人员日常巡检工作，辅助查找大电流开关柜风机缺陷等。此次技术改造服务相关模块化软硬件开发情况如下：</w:t>
      </w:r>
    </w:p>
    <w:p>
      <w:pPr>
        <w:pStyle w:val="179"/>
        <w:numPr>
          <w:ilvl w:val="0"/>
          <w:numId w:val="6"/>
        </w:numPr>
        <w:spacing w:line="400" w:lineRule="exact"/>
        <w:ind w:firstLineChars="0"/>
        <w:rPr>
          <w:sz w:val="24"/>
          <w:szCs w:val="24"/>
        </w:rPr>
      </w:pPr>
      <w:r>
        <w:rPr>
          <w:rFonts w:hint="eastAsia"/>
          <w:sz w:val="24"/>
          <w:szCs w:val="24"/>
        </w:rPr>
        <w:t>相关技术改造与设备维护的架构设计</w:t>
      </w:r>
    </w:p>
    <w:p>
      <w:pPr>
        <w:jc w:val="center"/>
        <w:rPr>
          <w:sz w:val="24"/>
          <w:szCs w:val="24"/>
        </w:rPr>
      </w:pPr>
      <w:r>
        <w:drawing>
          <wp:inline distT="0" distB="0" distL="0" distR="0">
            <wp:extent cx="4954905" cy="400367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21"/>
                    <a:stretch>
                      <a:fillRect/>
                    </a:stretch>
                  </pic:blipFill>
                  <pic:spPr>
                    <a:xfrm>
                      <a:off x="0" y="0"/>
                      <a:ext cx="5015500" cy="4052979"/>
                    </a:xfrm>
                    <a:prstGeom prst="rect">
                      <a:avLst/>
                    </a:prstGeom>
                  </pic:spPr>
                </pic:pic>
              </a:graphicData>
            </a:graphic>
          </wp:inline>
        </w:drawing>
      </w:r>
    </w:p>
    <w:p>
      <w:pPr>
        <w:spacing w:line="400" w:lineRule="exact"/>
        <w:ind w:firstLine="480" w:firstLineChars="200"/>
        <w:rPr>
          <w:rFonts w:ascii="Times New Roman" w:hAnsi="Times New Roman"/>
          <w:sz w:val="24"/>
          <w:szCs w:val="24"/>
        </w:rPr>
      </w:pPr>
      <w:r>
        <w:rPr>
          <w:rFonts w:ascii="Times New Roman" w:hAnsi="Times New Roman"/>
          <w:sz w:val="24"/>
          <w:szCs w:val="24"/>
        </w:rPr>
        <w:t>如上图所示，此次大电流开关柜散热装置控制智能化专项整治服务，整体分为感知层、服务层、应用层。在感知层采用各种硬件传感器实时采集相关数据传送给本地控制器，通过本地控制器内嵌的服务层进行相关告警和数据分析，同时通过配置的规则对设备进行自动控制，并完成对本地设备的运行监控呈现。通过</w:t>
      </w:r>
      <w:r>
        <w:rPr>
          <w:rFonts w:hint="eastAsia" w:ascii="Times New Roman" w:hAnsi="Times New Roman"/>
          <w:sz w:val="24"/>
          <w:szCs w:val="24"/>
        </w:rPr>
        <w:t>高兼容度通信</w:t>
      </w:r>
      <w:r>
        <w:rPr>
          <w:rFonts w:ascii="Times New Roman" w:hAnsi="Times New Roman"/>
          <w:sz w:val="24"/>
          <w:szCs w:val="24"/>
        </w:rPr>
        <w:t>模块，可将本地控制器中相关采集数据传输到应用层，通过远程云端系统、移动运维APP等相关应用，完成设备远程监控和移动巡检工作。</w:t>
      </w:r>
    </w:p>
    <w:p>
      <w:pPr>
        <w:pStyle w:val="179"/>
        <w:numPr>
          <w:ilvl w:val="0"/>
          <w:numId w:val="6"/>
        </w:numPr>
        <w:spacing w:line="400" w:lineRule="exact"/>
        <w:ind w:firstLineChars="0"/>
        <w:rPr>
          <w:rFonts w:ascii="Times New Roman" w:hAnsi="Times New Roman"/>
          <w:sz w:val="24"/>
          <w:szCs w:val="24"/>
        </w:rPr>
      </w:pPr>
      <w:r>
        <w:rPr>
          <w:rFonts w:ascii="Times New Roman" w:hAnsi="Times New Roman"/>
          <w:sz w:val="24"/>
          <w:szCs w:val="24"/>
        </w:rPr>
        <w:t>技术改造与设备维护功能模块</w:t>
      </w:r>
    </w:p>
    <w:p>
      <w:pPr>
        <w:spacing w:line="400" w:lineRule="exact"/>
        <w:rPr>
          <w:rFonts w:ascii="Times New Roman" w:hAnsi="Times New Roman"/>
          <w:sz w:val="24"/>
          <w:szCs w:val="24"/>
        </w:rPr>
      </w:pPr>
      <w:r>
        <w:rPr>
          <w:rFonts w:ascii="Times New Roman" w:hAnsi="Times New Roman"/>
          <w:sz w:val="24"/>
          <w:szCs w:val="24"/>
        </w:rPr>
        <w:t>a. 实时在线监测功能改造</w:t>
      </w:r>
    </w:p>
    <w:p>
      <w:pPr>
        <w:spacing w:line="400" w:lineRule="exact"/>
        <w:ind w:firstLine="480" w:firstLineChars="200"/>
        <w:rPr>
          <w:rFonts w:ascii="Times New Roman" w:hAnsi="Times New Roman"/>
          <w:sz w:val="24"/>
          <w:szCs w:val="24"/>
        </w:rPr>
      </w:pPr>
      <w:r>
        <w:rPr>
          <w:rFonts w:hint="eastAsia" w:ascii="Times New Roman" w:hAnsi="Times New Roman"/>
          <w:sz w:val="24"/>
          <w:szCs w:val="24"/>
        </w:rPr>
        <w:t>本次技术升级改造应首先实现大电流开关柜温湿度及风机相关状态参数的实时在线监测功能，可提供实时监控高压开关柜的柜内温度、湿度、负荷电流（二次）、散热（除湿）装置运行电流等数据，数据采集周期控制在秒级。通过数据采集器对高压开关柜的负荷电流（二次）、各散热（装置）（轴流风机、灌流风机和除湿器）的实时工作电流、实时输入电压、柜内实时温湿度等指标参数集中采集，由装置所带的智能控制终端可视化呈现二次负荷电流，温度，湿度、散热（除湿）装置运行电流、散热（除湿）装置运行时长等参数。当前此功能模块已完整实现，其中，状态参数数据采集器和可视化智能装置安装到高压开关柜</w:t>
      </w:r>
      <w:r>
        <w:rPr>
          <w:rFonts w:ascii="Times New Roman" w:hAnsi="Times New Roman"/>
          <w:sz w:val="24"/>
          <w:szCs w:val="24"/>
        </w:rPr>
        <w:t>35mm通用导轨上</w:t>
      </w:r>
      <w:r>
        <w:rPr>
          <w:rFonts w:hint="eastAsia" w:ascii="Times New Roman" w:hAnsi="Times New Roman"/>
          <w:sz w:val="24"/>
          <w:szCs w:val="24"/>
        </w:rPr>
        <w:t>，如下如所示：</w:t>
      </w:r>
    </w:p>
    <w:p>
      <w:pPr>
        <w:jc w:val="center"/>
        <w:rPr>
          <w:rFonts w:ascii="Times New Roman" w:hAnsi="Times New Roman"/>
          <w:sz w:val="24"/>
          <w:szCs w:val="24"/>
        </w:rPr>
      </w:pPr>
      <w:r>
        <w:drawing>
          <wp:inline distT="0" distB="0" distL="0" distR="0">
            <wp:extent cx="3898900" cy="2284095"/>
            <wp:effectExtent l="0" t="0" r="6350" b="190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914041" cy="2293479"/>
                    </a:xfrm>
                    <a:prstGeom prst="rect">
                      <a:avLst/>
                    </a:prstGeom>
                    <a:noFill/>
                    <a:ln>
                      <a:noFill/>
                    </a:ln>
                  </pic:spPr>
                </pic:pic>
              </a:graphicData>
            </a:graphic>
          </wp:inline>
        </w:drawing>
      </w:r>
    </w:p>
    <w:p>
      <w:pPr>
        <w:jc w:val="center"/>
        <w:rPr>
          <w:rFonts w:ascii="Times New Roman" w:hAnsi="Times New Roman"/>
          <w:sz w:val="24"/>
          <w:szCs w:val="24"/>
        </w:rPr>
      </w:pPr>
      <w:r>
        <w:rPr>
          <w:rFonts w:hint="eastAsia" w:ascii="宋体" w:hAnsi="宋体"/>
          <w:szCs w:val="24"/>
        </w:rPr>
        <w:drawing>
          <wp:inline distT="0" distB="0" distL="0" distR="0">
            <wp:extent cx="3949700" cy="5266055"/>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58771" cy="5278520"/>
                    </a:xfrm>
                    <a:prstGeom prst="rect">
                      <a:avLst/>
                    </a:prstGeom>
                  </pic:spPr>
                </pic:pic>
              </a:graphicData>
            </a:graphic>
          </wp:inline>
        </w:drawing>
      </w:r>
    </w:p>
    <w:p>
      <w:pPr>
        <w:jc w:val="center"/>
        <w:rPr>
          <w:rFonts w:eastAsia="黑体"/>
          <w:szCs w:val="21"/>
        </w:rPr>
      </w:pPr>
      <w:r>
        <w:rPr>
          <w:rFonts w:hint="eastAsia" w:eastAsia="黑体"/>
          <w:szCs w:val="21"/>
        </w:rPr>
        <w:t>由应答人团队承担的某示范站大电流开关柜散热（除湿）装置控制器技术改造效果</w:t>
      </w:r>
    </w:p>
    <w:p>
      <w:pPr>
        <w:jc w:val="center"/>
        <w:rPr>
          <w:rFonts w:ascii="Times New Roman" w:hAnsi="Times New Roman"/>
          <w:sz w:val="24"/>
          <w:szCs w:val="24"/>
        </w:rPr>
      </w:pPr>
    </w:p>
    <w:p>
      <w:pPr>
        <w:spacing w:line="400" w:lineRule="exact"/>
        <w:rPr>
          <w:rFonts w:ascii="Times New Roman" w:hAnsi="Times New Roman"/>
          <w:sz w:val="24"/>
          <w:szCs w:val="24"/>
        </w:rPr>
      </w:pPr>
      <w:r>
        <w:rPr>
          <w:rFonts w:ascii="Times New Roman" w:hAnsi="Times New Roman"/>
          <w:sz w:val="24"/>
          <w:szCs w:val="24"/>
        </w:rPr>
        <w:t xml:space="preserve">b. </w:t>
      </w:r>
      <w:r>
        <w:rPr>
          <w:rFonts w:hint="eastAsia" w:ascii="Times New Roman" w:hAnsi="Times New Roman"/>
          <w:sz w:val="24"/>
          <w:szCs w:val="24"/>
        </w:rPr>
        <w:t>风机自适应启停控制模块改造升级</w:t>
      </w:r>
    </w:p>
    <w:p>
      <w:pPr>
        <w:spacing w:line="400" w:lineRule="exact"/>
        <w:ind w:firstLine="480" w:firstLineChars="200"/>
        <w:rPr>
          <w:rFonts w:ascii="Times New Roman" w:hAnsi="Times New Roman"/>
          <w:sz w:val="24"/>
          <w:szCs w:val="24"/>
        </w:rPr>
      </w:pPr>
      <w:r>
        <w:rPr>
          <w:rFonts w:hint="eastAsia" w:ascii="Times New Roman" w:hAnsi="Times New Roman"/>
          <w:sz w:val="24"/>
          <w:szCs w:val="24"/>
        </w:rPr>
        <w:t>通过大电流开关柜散热（除湿）装置自动启动和停止功能的功能改造，使得开关柜运检人员能灵活配置温度、湿度、负载的开关阈值，将采集到的实时数据与阈值进行对比，自动远程启动或停止相关设备，保障高压开关柜柜内温升在可控范围内。当前此功能模块已完整实现，如下如所示：</w:t>
      </w:r>
    </w:p>
    <w:p>
      <w:pPr>
        <w:jc w:val="center"/>
        <w:rPr>
          <w:rFonts w:ascii="Times New Roman" w:hAnsi="Times New Roman"/>
          <w:sz w:val="24"/>
          <w:szCs w:val="24"/>
        </w:rPr>
      </w:pPr>
      <w:r>
        <w:drawing>
          <wp:inline distT="0" distB="0" distL="0" distR="0">
            <wp:extent cx="4215130" cy="2470150"/>
            <wp:effectExtent l="0" t="0" r="0" b="635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238678" cy="2483705"/>
                    </a:xfrm>
                    <a:prstGeom prst="rect">
                      <a:avLst/>
                    </a:prstGeom>
                    <a:noFill/>
                    <a:ln>
                      <a:noFill/>
                    </a:ln>
                  </pic:spPr>
                </pic:pic>
              </a:graphicData>
            </a:graphic>
          </wp:inline>
        </w:drawing>
      </w:r>
    </w:p>
    <w:p>
      <w:pPr>
        <w:jc w:val="center"/>
        <w:rPr>
          <w:rFonts w:ascii="Times New Roman" w:hAnsi="Times New Roman"/>
          <w:sz w:val="24"/>
          <w:szCs w:val="24"/>
        </w:rPr>
      </w:pPr>
      <w:r>
        <w:drawing>
          <wp:inline distT="0" distB="0" distL="0" distR="0">
            <wp:extent cx="4225925" cy="2476500"/>
            <wp:effectExtent l="0" t="0" r="317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42556" cy="2485975"/>
                    </a:xfrm>
                    <a:prstGeom prst="rect">
                      <a:avLst/>
                    </a:prstGeom>
                    <a:noFill/>
                    <a:ln>
                      <a:noFill/>
                    </a:ln>
                  </pic:spPr>
                </pic:pic>
              </a:graphicData>
            </a:graphic>
          </wp:inline>
        </w:drawing>
      </w:r>
    </w:p>
    <w:p>
      <w:pPr>
        <w:spacing w:line="400" w:lineRule="exact"/>
        <w:rPr>
          <w:rFonts w:ascii="Times New Roman" w:hAnsi="Times New Roman"/>
          <w:sz w:val="24"/>
          <w:szCs w:val="24"/>
        </w:rPr>
      </w:pPr>
      <w:r>
        <w:rPr>
          <w:rFonts w:ascii="Times New Roman" w:hAnsi="Times New Roman"/>
          <w:sz w:val="24"/>
          <w:szCs w:val="24"/>
        </w:rPr>
        <w:t xml:space="preserve">c. </w:t>
      </w:r>
      <w:r>
        <w:rPr>
          <w:rFonts w:hint="eastAsia" w:ascii="Times New Roman" w:hAnsi="Times New Roman"/>
          <w:sz w:val="24"/>
          <w:szCs w:val="24"/>
        </w:rPr>
        <w:t>大电流柜风机分组启动功能改造</w:t>
      </w:r>
    </w:p>
    <w:p>
      <w:pPr>
        <w:spacing w:line="400" w:lineRule="exact"/>
        <w:ind w:firstLine="480" w:firstLineChars="200"/>
        <w:rPr>
          <w:rFonts w:ascii="Times New Roman" w:hAnsi="Times New Roman"/>
          <w:sz w:val="24"/>
          <w:szCs w:val="24"/>
        </w:rPr>
      </w:pPr>
      <w:r>
        <w:rPr>
          <w:rFonts w:hint="eastAsia" w:ascii="Times New Roman" w:hAnsi="Times New Roman"/>
          <w:sz w:val="24"/>
          <w:szCs w:val="24"/>
        </w:rPr>
        <w:t>提供散热（除湿）装置分组启动和停止功能的功能。可灵活配置单个、多个散热（除湿）装置的启动和停止，单机最多支持</w:t>
      </w:r>
      <w:r>
        <w:rPr>
          <w:rFonts w:ascii="Times New Roman" w:hAnsi="Times New Roman"/>
          <w:sz w:val="24"/>
          <w:szCs w:val="24"/>
        </w:rPr>
        <w:t>7路散热装置和2路除湿装置控制，并且数据采集器支持多级级联，可根据现场实际情况控制N*7路散热装置和M*2路除湿装置。</w:t>
      </w:r>
      <w:r>
        <w:rPr>
          <w:rFonts w:hint="eastAsia" w:ascii="Times New Roman" w:hAnsi="Times New Roman"/>
          <w:sz w:val="24"/>
          <w:szCs w:val="24"/>
        </w:rPr>
        <w:t>相关硬件结构如下图所示：</w:t>
      </w:r>
    </w:p>
    <w:p>
      <w:pPr>
        <w:ind w:firstLine="420" w:firstLineChars="200"/>
        <w:jc w:val="center"/>
        <w:rPr>
          <w:rFonts w:ascii="Times New Roman" w:hAnsi="Times New Roman"/>
          <w:sz w:val="24"/>
          <w:szCs w:val="24"/>
        </w:rPr>
      </w:pPr>
      <w:r>
        <w:rPr>
          <w:rFonts w:hint="eastAsia"/>
        </w:rPr>
        <w:drawing>
          <wp:inline distT="0" distB="0" distL="0" distR="0">
            <wp:extent cx="2416175" cy="2387600"/>
            <wp:effectExtent l="0" t="0" r="3175"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16787" cy="2387600"/>
                    </a:xfrm>
                    <a:prstGeom prst="rect">
                      <a:avLst/>
                    </a:prstGeom>
                  </pic:spPr>
                </pic:pic>
              </a:graphicData>
            </a:graphic>
          </wp:inline>
        </w:drawing>
      </w:r>
    </w:p>
    <w:p>
      <w:pPr>
        <w:spacing w:line="400" w:lineRule="exact"/>
        <w:rPr>
          <w:rFonts w:ascii="Times New Roman" w:hAnsi="Times New Roman"/>
          <w:sz w:val="24"/>
          <w:szCs w:val="24"/>
        </w:rPr>
      </w:pPr>
      <w:r>
        <w:rPr>
          <w:rFonts w:ascii="Times New Roman" w:hAnsi="Times New Roman"/>
          <w:sz w:val="24"/>
          <w:szCs w:val="24"/>
        </w:rPr>
        <w:t xml:space="preserve">d. </w:t>
      </w:r>
      <w:r>
        <w:rPr>
          <w:rFonts w:hint="eastAsia" w:ascii="Times New Roman" w:hAnsi="Times New Roman"/>
          <w:sz w:val="24"/>
          <w:szCs w:val="24"/>
        </w:rPr>
        <w:t>风机运行工况与全寿命周期监测模块改造</w:t>
      </w:r>
    </w:p>
    <w:p>
      <w:pPr>
        <w:spacing w:line="400" w:lineRule="exact"/>
        <w:ind w:firstLine="480" w:firstLineChars="200"/>
        <w:rPr>
          <w:rFonts w:ascii="Times New Roman" w:hAnsi="Times New Roman"/>
          <w:sz w:val="24"/>
          <w:szCs w:val="24"/>
        </w:rPr>
      </w:pPr>
      <w:r>
        <w:rPr>
          <w:rFonts w:hint="eastAsia" w:ascii="Times New Roman" w:hAnsi="Times New Roman"/>
          <w:sz w:val="24"/>
          <w:szCs w:val="24"/>
        </w:rPr>
        <w:t>提供散热（除湿）装置实现运行工况监视的功能，实时查看每个装置的额定电流、采集电流、运行时长、启停次数等参数。提供风扇、电源等设备的运行时长统计、启停次数统计的功能，通过这些数据综合分析设备的使用寿命。</w:t>
      </w:r>
    </w:p>
    <w:p>
      <w:pPr>
        <w:jc w:val="center"/>
        <w:rPr>
          <w:rFonts w:ascii="Times New Roman" w:hAnsi="Times New Roman"/>
          <w:sz w:val="24"/>
          <w:szCs w:val="24"/>
        </w:rPr>
      </w:pPr>
      <w:r>
        <w:drawing>
          <wp:inline distT="0" distB="0" distL="0" distR="0">
            <wp:extent cx="4049395" cy="2372995"/>
            <wp:effectExtent l="0" t="0" r="8255" b="825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54792" cy="2375954"/>
                    </a:xfrm>
                    <a:prstGeom prst="rect">
                      <a:avLst/>
                    </a:prstGeom>
                    <a:noFill/>
                    <a:ln>
                      <a:noFill/>
                    </a:ln>
                  </pic:spPr>
                </pic:pic>
              </a:graphicData>
            </a:graphic>
          </wp:inline>
        </w:drawing>
      </w:r>
    </w:p>
    <w:p>
      <w:pPr>
        <w:spacing w:line="400" w:lineRule="exact"/>
        <w:rPr>
          <w:rFonts w:ascii="Times New Roman" w:hAnsi="Times New Roman"/>
          <w:sz w:val="24"/>
          <w:szCs w:val="24"/>
        </w:rPr>
      </w:pPr>
      <w:r>
        <w:rPr>
          <w:rFonts w:ascii="Times New Roman" w:hAnsi="Times New Roman"/>
          <w:sz w:val="24"/>
          <w:szCs w:val="24"/>
        </w:rPr>
        <w:t xml:space="preserve">e. </w:t>
      </w:r>
      <w:r>
        <w:rPr>
          <w:rFonts w:hint="eastAsia" w:ascii="Times New Roman" w:hAnsi="Times New Roman"/>
          <w:sz w:val="24"/>
          <w:szCs w:val="24"/>
        </w:rPr>
        <w:t>技术改造相关功能模块性能指标与易用性实现目标</w:t>
      </w:r>
    </w:p>
    <w:p>
      <w:pPr>
        <w:spacing w:line="400" w:lineRule="exact"/>
        <w:ind w:firstLine="480" w:firstLineChars="200"/>
        <w:rPr>
          <w:rFonts w:ascii="Times New Roman" w:hAnsi="Times New Roman"/>
          <w:sz w:val="24"/>
          <w:szCs w:val="24"/>
        </w:rPr>
      </w:pPr>
      <w:r>
        <w:rPr>
          <w:rFonts w:hint="eastAsia" w:ascii="Times New Roman" w:hAnsi="Times New Roman"/>
          <w:sz w:val="24"/>
          <w:szCs w:val="24"/>
        </w:rPr>
        <w:t>技术改造相关功能模块基本性能参数如下：数据采集时间：毫秒级。系统应在长时间运行下仍能顺畅访问。数据分析响应时间，应为：一般操作响应</w:t>
      </w:r>
      <w:r>
        <w:rPr>
          <w:rFonts w:ascii="Times New Roman" w:hAnsi="Times New Roman"/>
          <w:sz w:val="24"/>
          <w:szCs w:val="24"/>
        </w:rPr>
        <w:t>&lt;200毫秒(ms)，复杂操作响应&lt;500毫秒(ms)。</w:t>
      </w:r>
      <w:r>
        <w:rPr>
          <w:rFonts w:hint="eastAsia" w:ascii="Times New Roman" w:hAnsi="Times New Roman"/>
          <w:sz w:val="24"/>
          <w:szCs w:val="24"/>
        </w:rPr>
        <w:t>告警传递时间：</w:t>
      </w:r>
      <w:r>
        <w:rPr>
          <w:rFonts w:ascii="Times New Roman" w:hAnsi="Times New Roman"/>
          <w:sz w:val="24"/>
          <w:szCs w:val="24"/>
        </w:rPr>
        <w:t>&lt;10秒(s)。</w:t>
      </w:r>
    </w:p>
    <w:p>
      <w:pPr>
        <w:spacing w:line="400" w:lineRule="exact"/>
        <w:ind w:firstLine="480" w:firstLineChars="200"/>
        <w:rPr>
          <w:rFonts w:ascii="Times New Roman" w:hAnsi="Times New Roman"/>
          <w:sz w:val="24"/>
          <w:szCs w:val="24"/>
        </w:rPr>
      </w:pPr>
      <w:r>
        <w:rPr>
          <w:rFonts w:hint="eastAsia" w:ascii="Times New Roman" w:hAnsi="Times New Roman"/>
          <w:sz w:val="24"/>
          <w:szCs w:val="24"/>
        </w:rPr>
        <w:t>基于应答人大电流风机柜技术改造相关模块研制及前期工程安装调试与技术服务经验，使得相关功能模块安装调试尽量简便易行，如下图所示。技术升级改造及维护项目完成后，提交易于安装的标准安装程序</w:t>
      </w:r>
      <w:r>
        <w:rPr>
          <w:rFonts w:ascii="Times New Roman" w:hAnsi="Times New Roman"/>
          <w:sz w:val="24"/>
          <w:szCs w:val="24"/>
        </w:rPr>
        <w:t xml:space="preserve"> (如主要软件包都放置于光盘)，提供必要的操作维护手册及技术手册，提供必要的培训。</w:t>
      </w:r>
      <w:r>
        <w:rPr>
          <w:rFonts w:hint="eastAsia" w:ascii="Times New Roman" w:hAnsi="Times New Roman"/>
          <w:sz w:val="24"/>
          <w:szCs w:val="24"/>
        </w:rPr>
        <w:t>要求功能模块界面功能目录清晰，每级深入，能够清楚表现出各级功能结构，使运检人员很容易了解系统所拥有的各项功能。</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21430" cy="4679950"/>
            <wp:effectExtent l="0" t="0" r="7620" b="635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829357" cy="4689186"/>
                    </a:xfrm>
                    <a:prstGeom prst="rect">
                      <a:avLst/>
                    </a:prstGeom>
                    <a:noFill/>
                    <a:ln>
                      <a:noFill/>
                    </a:ln>
                  </pic:spPr>
                </pic:pic>
              </a:graphicData>
            </a:graphic>
          </wp:inline>
        </w:drawing>
      </w:r>
    </w:p>
    <w:p>
      <w:pPr>
        <w:spacing w:line="400" w:lineRule="exact"/>
        <w:jc w:val="center"/>
        <w:rPr>
          <w:rFonts w:eastAsia="黑体"/>
          <w:szCs w:val="21"/>
        </w:rPr>
      </w:pPr>
      <w:r>
        <w:rPr>
          <w:rFonts w:hint="eastAsia" w:eastAsia="黑体"/>
          <w:szCs w:val="21"/>
        </w:rPr>
        <w:t>应答人团队大电流风机柜散热（除湿）装置控制器技术升级改造及维护现场作业</w:t>
      </w:r>
    </w:p>
    <w:p>
      <w:pPr>
        <w:spacing w:line="400" w:lineRule="exact"/>
        <w:rPr>
          <w:rFonts w:ascii="Times New Roman" w:hAnsi="Times New Roman"/>
          <w:sz w:val="24"/>
          <w:szCs w:val="24"/>
        </w:rPr>
      </w:pPr>
    </w:p>
    <w:p>
      <w:pPr>
        <w:spacing w:line="400" w:lineRule="exact"/>
        <w:ind w:firstLine="480" w:firstLineChars="200"/>
        <w:rPr>
          <w:sz w:val="24"/>
          <w:szCs w:val="24"/>
        </w:rPr>
      </w:pPr>
      <w:r>
        <w:rPr>
          <w:rFonts w:hint="eastAsia"/>
          <w:sz w:val="24"/>
          <w:szCs w:val="24"/>
        </w:rPr>
        <w:t>本次技术升级改造及设备维护可基于应答人技术团队开发的高压开关柜智能散热（除湿）监控装置，利用物联网和大数据分析技术，通过加装数据采集器对高压开关柜负荷电流（二次）、各散热装置（轴流风机、灌流风机和除湿器）的实时工作电流、实时输入电压、柜内实时温湿度等指标参数集中采集后，由改造升级的的智能控制终端运用数据分析、智能控制算法以及内置的机器学习程序对散热和除湿装置进行自动控制，控制高压开关柜的柜内温升，并推送设备预警或故障信息给本地展示单元和运检人员移动终端，即时跟踪散热（除湿）装置的运行状态，确保大电流开关柜安全运行，最大程度地提升大电流开关柜运检工作效率。</w:t>
      </w:r>
    </w:p>
    <w:p>
      <w:pPr>
        <w:spacing w:line="400" w:lineRule="exact"/>
        <w:ind w:firstLine="480" w:firstLineChars="200"/>
      </w:pPr>
      <w:r>
        <w:rPr>
          <w:rFonts w:hint="eastAsia"/>
          <w:sz w:val="24"/>
          <w:szCs w:val="24"/>
        </w:rPr>
        <w:t>具备相对成熟的大电流开关柜散热（除湿）装置控制器控制技术升级改造及维护功能化模块，并已通过调试检测，是应答人针对本项目的优势之三。</w:t>
      </w:r>
    </w:p>
    <w:p>
      <w:pPr>
        <w:pStyle w:val="3"/>
        <w:pageBreakBefore/>
        <w:rPr>
          <w:sz w:val="24"/>
          <w:szCs w:val="24"/>
        </w:rPr>
      </w:pPr>
      <w:r>
        <w:rPr>
          <w:rFonts w:hint="eastAsia"/>
          <w:sz w:val="24"/>
          <w:szCs w:val="24"/>
        </w:rPr>
        <w:t>3、项目实施组织形式和管理措施</w:t>
      </w:r>
    </w:p>
    <w:p>
      <w:pPr>
        <w:spacing w:line="400" w:lineRule="exact"/>
        <w:ind w:firstLine="480" w:firstLineChars="200"/>
        <w:rPr>
          <w:sz w:val="24"/>
          <w:szCs w:val="24"/>
        </w:rPr>
      </w:pPr>
      <w:r>
        <w:rPr>
          <w:rFonts w:hint="eastAsia"/>
          <w:sz w:val="24"/>
          <w:szCs w:val="24"/>
        </w:rPr>
        <w:t>我方已对此次技术升级改造及维护项目的组织和管理进行了详细的计划，主要的项目实施组织形式和管理措施如下所示：</w:t>
      </w:r>
    </w:p>
    <w:p>
      <w:pPr>
        <w:spacing w:before="156" w:beforeLines="50" w:after="156" w:afterLines="50" w:line="400" w:lineRule="exact"/>
        <w:rPr>
          <w:b/>
          <w:bCs/>
          <w:sz w:val="24"/>
          <w:szCs w:val="24"/>
          <w:u w:val="single"/>
        </w:rPr>
      </w:pPr>
      <w:r>
        <w:rPr>
          <w:rFonts w:hint="eastAsia"/>
          <w:b/>
          <w:bCs/>
          <w:sz w:val="24"/>
          <w:szCs w:val="24"/>
          <w:u w:val="single"/>
        </w:rPr>
        <w:t>1）管理团队</w:t>
      </w:r>
    </w:p>
    <w:p>
      <w:pPr>
        <w:spacing w:line="400" w:lineRule="exact"/>
        <w:rPr>
          <w:rFonts w:hint="eastAsia"/>
          <w:sz w:val="24"/>
          <w:szCs w:val="24"/>
        </w:rPr>
      </w:pPr>
      <w:r>
        <w:rPr>
          <w:rFonts w:hint="eastAsia"/>
          <w:sz w:val="24"/>
          <w:szCs w:val="24"/>
        </w:rPr>
        <w:t>项目管理团队包括应答人团队相关领域教授、副教授、研究生组成的核心攻坚团队，由相关领域资深专家支撑，分为：</w:t>
      </w:r>
    </w:p>
    <w:p>
      <w:pPr>
        <w:pStyle w:val="179"/>
        <w:numPr>
          <w:ilvl w:val="0"/>
          <w:numId w:val="7"/>
        </w:numPr>
        <w:spacing w:line="400" w:lineRule="exact"/>
        <w:ind w:firstLineChars="0"/>
        <w:rPr>
          <w:sz w:val="24"/>
          <w:szCs w:val="24"/>
        </w:rPr>
      </w:pPr>
      <w:r>
        <w:rPr>
          <w:rFonts w:hint="eastAsia"/>
          <w:sz w:val="24"/>
          <w:szCs w:val="24"/>
        </w:rPr>
        <w:t>项目指导委员会：提供项目的自顶向下指导模式，进行项目的宏观方向指导。</w:t>
      </w:r>
    </w:p>
    <w:p>
      <w:pPr>
        <w:pStyle w:val="179"/>
        <w:numPr>
          <w:ilvl w:val="0"/>
          <w:numId w:val="7"/>
        </w:numPr>
        <w:spacing w:line="400" w:lineRule="exact"/>
        <w:ind w:firstLineChars="0"/>
        <w:rPr>
          <w:sz w:val="24"/>
          <w:szCs w:val="24"/>
        </w:rPr>
      </w:pPr>
      <w:r>
        <w:rPr>
          <w:sz w:val="24"/>
          <w:szCs w:val="24"/>
        </w:rPr>
        <w:t>内部项目实施核查小组：定期对项目实施进度进行督查。严格保证项目时间节点和功能质量。</w:t>
      </w:r>
    </w:p>
    <w:p>
      <w:pPr>
        <w:pStyle w:val="179"/>
        <w:numPr>
          <w:ilvl w:val="0"/>
          <w:numId w:val="7"/>
        </w:numPr>
        <w:spacing w:line="400" w:lineRule="exact"/>
        <w:ind w:firstLineChars="0"/>
        <w:rPr>
          <w:sz w:val="24"/>
          <w:szCs w:val="24"/>
        </w:rPr>
      </w:pPr>
      <w:r>
        <w:rPr>
          <w:sz w:val="24"/>
          <w:szCs w:val="24"/>
        </w:rPr>
        <w:t>文档管理小组：负责</w:t>
      </w:r>
      <w:r>
        <w:rPr>
          <w:rFonts w:hint="eastAsia"/>
          <w:sz w:val="24"/>
          <w:szCs w:val="24"/>
        </w:rPr>
        <w:t>项目过程中相关模块改造的</w:t>
      </w:r>
      <w:r>
        <w:rPr>
          <w:sz w:val="24"/>
          <w:szCs w:val="24"/>
        </w:rPr>
        <w:t>使用说明、工作报告、工作日志等文档性工作，结合项目实施进度，阶段性保障相关文字性工作的准确无误进行。</w:t>
      </w:r>
    </w:p>
    <w:p>
      <w:pPr>
        <w:pStyle w:val="179"/>
        <w:numPr>
          <w:ilvl w:val="0"/>
          <w:numId w:val="7"/>
        </w:numPr>
        <w:spacing w:line="400" w:lineRule="exact"/>
        <w:ind w:firstLineChars="0"/>
        <w:rPr>
          <w:sz w:val="24"/>
          <w:szCs w:val="24"/>
        </w:rPr>
      </w:pPr>
      <w:r>
        <w:rPr>
          <w:rFonts w:hint="eastAsia"/>
          <w:sz w:val="24"/>
          <w:szCs w:val="24"/>
        </w:rPr>
        <w:t>软硬件技术支持</w:t>
      </w:r>
      <w:r>
        <w:rPr>
          <w:sz w:val="24"/>
          <w:szCs w:val="24"/>
        </w:rPr>
        <w:t>小组：负责</w:t>
      </w:r>
      <w:r>
        <w:rPr>
          <w:rFonts w:hint="eastAsia"/>
          <w:sz w:val="24"/>
          <w:szCs w:val="24"/>
        </w:rPr>
        <w:t>对大电流开关柜散热（除湿）装置控制器相关软硬件进行技术支持</w:t>
      </w:r>
      <w:r>
        <w:rPr>
          <w:sz w:val="24"/>
          <w:szCs w:val="24"/>
        </w:rPr>
        <w:t>。</w:t>
      </w:r>
    </w:p>
    <w:p>
      <w:pPr>
        <w:spacing w:before="156" w:beforeLines="50" w:after="156" w:afterLines="50" w:line="400" w:lineRule="exact"/>
        <w:rPr>
          <w:b/>
          <w:bCs/>
          <w:sz w:val="24"/>
          <w:szCs w:val="24"/>
          <w:u w:val="single"/>
        </w:rPr>
      </w:pPr>
      <w:r>
        <w:rPr>
          <w:rFonts w:hint="eastAsia"/>
          <w:b/>
          <w:bCs/>
          <w:sz w:val="24"/>
          <w:szCs w:val="24"/>
          <w:u w:val="single"/>
        </w:rPr>
        <w:t>2）实施团队</w:t>
      </w:r>
    </w:p>
    <w:p>
      <w:pPr>
        <w:spacing w:line="400" w:lineRule="exact"/>
        <w:rPr>
          <w:sz w:val="24"/>
          <w:szCs w:val="24"/>
        </w:rPr>
      </w:pPr>
      <w:r>
        <w:rPr>
          <w:rFonts w:hint="eastAsia"/>
          <w:sz w:val="24"/>
          <w:szCs w:val="24"/>
        </w:rPr>
        <w:t>项目实施团队包括项目经理、技术支持人员、实施人员：</w:t>
      </w:r>
    </w:p>
    <w:p>
      <w:pPr>
        <w:pStyle w:val="179"/>
        <w:numPr>
          <w:ilvl w:val="0"/>
          <w:numId w:val="8"/>
        </w:numPr>
        <w:spacing w:line="400" w:lineRule="exact"/>
        <w:ind w:firstLineChars="0"/>
        <w:rPr>
          <w:sz w:val="24"/>
          <w:szCs w:val="24"/>
        </w:rPr>
      </w:pPr>
      <w:r>
        <w:rPr>
          <w:sz w:val="24"/>
          <w:szCs w:val="24"/>
        </w:rPr>
        <w:t>项目经理：负责制定</w:t>
      </w:r>
      <w:r>
        <w:rPr>
          <w:rFonts w:hint="eastAsia"/>
          <w:sz w:val="24"/>
          <w:szCs w:val="24"/>
        </w:rPr>
        <w:t>升级改造与技术服务</w:t>
      </w:r>
      <w:r>
        <w:rPr>
          <w:sz w:val="24"/>
          <w:szCs w:val="24"/>
        </w:rPr>
        <w:t>实施计划的制定、工作安排、进度跟踪、人员绩效考核、风险评估；</w:t>
      </w:r>
    </w:p>
    <w:p>
      <w:pPr>
        <w:pStyle w:val="179"/>
        <w:numPr>
          <w:ilvl w:val="0"/>
          <w:numId w:val="8"/>
        </w:numPr>
        <w:spacing w:line="400" w:lineRule="exact"/>
        <w:ind w:firstLineChars="0"/>
        <w:rPr>
          <w:sz w:val="24"/>
          <w:szCs w:val="24"/>
        </w:rPr>
      </w:pPr>
      <w:r>
        <w:rPr>
          <w:sz w:val="24"/>
          <w:szCs w:val="24"/>
        </w:rPr>
        <w:t>技术支持人员：负责</w:t>
      </w:r>
      <w:r>
        <w:rPr>
          <w:rFonts w:hint="eastAsia"/>
          <w:sz w:val="24"/>
          <w:szCs w:val="24"/>
        </w:rPr>
        <w:t>升级改造</w:t>
      </w:r>
      <w:r>
        <w:rPr>
          <w:sz w:val="24"/>
          <w:szCs w:val="24"/>
        </w:rPr>
        <w:t>现场的安装、部署、调试；</w:t>
      </w:r>
    </w:p>
    <w:p>
      <w:pPr>
        <w:pStyle w:val="179"/>
        <w:numPr>
          <w:ilvl w:val="0"/>
          <w:numId w:val="8"/>
        </w:numPr>
        <w:spacing w:line="400" w:lineRule="exact"/>
        <w:ind w:firstLineChars="0"/>
        <w:rPr>
          <w:sz w:val="24"/>
          <w:szCs w:val="24"/>
        </w:rPr>
      </w:pPr>
      <w:r>
        <w:rPr>
          <w:sz w:val="24"/>
          <w:szCs w:val="24"/>
        </w:rPr>
        <w:t>实施人员：负责现场</w:t>
      </w:r>
      <w:r>
        <w:rPr>
          <w:rFonts w:hint="eastAsia"/>
          <w:sz w:val="24"/>
          <w:szCs w:val="24"/>
        </w:rPr>
        <w:t>调试与</w:t>
      </w:r>
      <w:r>
        <w:rPr>
          <w:sz w:val="24"/>
          <w:szCs w:val="24"/>
        </w:rPr>
        <w:t>配置，</w:t>
      </w:r>
      <w:r>
        <w:rPr>
          <w:rFonts w:hint="eastAsia"/>
          <w:sz w:val="24"/>
          <w:szCs w:val="24"/>
        </w:rPr>
        <w:t>相关改造功能模块的</w:t>
      </w:r>
      <w:r>
        <w:rPr>
          <w:sz w:val="24"/>
          <w:szCs w:val="24"/>
        </w:rPr>
        <w:t>使用培训，</w:t>
      </w:r>
      <w:r>
        <w:rPr>
          <w:rFonts w:hint="eastAsia"/>
          <w:sz w:val="24"/>
          <w:szCs w:val="24"/>
        </w:rPr>
        <w:t>以及</w:t>
      </w:r>
      <w:r>
        <w:rPr>
          <w:sz w:val="24"/>
          <w:szCs w:val="24"/>
        </w:rPr>
        <w:t>使用过程实施等。</w:t>
      </w:r>
    </w:p>
    <w:p>
      <w:pPr>
        <w:spacing w:before="156" w:beforeLines="50" w:after="156" w:afterLines="50" w:line="400" w:lineRule="exact"/>
        <w:rPr>
          <w:b/>
          <w:bCs/>
          <w:sz w:val="24"/>
          <w:szCs w:val="24"/>
          <w:u w:val="single"/>
        </w:rPr>
      </w:pPr>
      <w:r>
        <w:rPr>
          <w:rFonts w:hint="eastAsia"/>
          <w:b/>
          <w:bCs/>
          <w:sz w:val="24"/>
          <w:szCs w:val="24"/>
          <w:u w:val="single"/>
        </w:rPr>
        <w:t>3）组织项目联络会</w:t>
      </w:r>
    </w:p>
    <w:p>
      <w:pPr>
        <w:pStyle w:val="179"/>
        <w:numPr>
          <w:ilvl w:val="0"/>
          <w:numId w:val="9"/>
        </w:numPr>
        <w:spacing w:line="400" w:lineRule="exact"/>
        <w:ind w:firstLineChars="0"/>
        <w:rPr>
          <w:sz w:val="24"/>
          <w:szCs w:val="24"/>
        </w:rPr>
      </w:pPr>
      <w:r>
        <w:rPr>
          <w:rFonts w:hint="eastAsia"/>
          <w:sz w:val="24"/>
          <w:szCs w:val="24"/>
        </w:rPr>
        <w:t>在项目的实施和验收工作中，需在发包人协助下组织项目联络会，主要实现：</w:t>
      </w:r>
    </w:p>
    <w:p>
      <w:pPr>
        <w:pStyle w:val="179"/>
        <w:numPr>
          <w:ilvl w:val="0"/>
          <w:numId w:val="9"/>
        </w:numPr>
        <w:spacing w:line="400" w:lineRule="exact"/>
        <w:ind w:firstLineChars="0"/>
        <w:rPr>
          <w:sz w:val="24"/>
          <w:szCs w:val="24"/>
        </w:rPr>
      </w:pPr>
      <w:r>
        <w:rPr>
          <w:sz w:val="24"/>
          <w:szCs w:val="24"/>
        </w:rPr>
        <w:t>成立工程联络小组，组织定期的工程联络会；</w:t>
      </w:r>
    </w:p>
    <w:p>
      <w:pPr>
        <w:pStyle w:val="179"/>
        <w:numPr>
          <w:ilvl w:val="0"/>
          <w:numId w:val="9"/>
        </w:numPr>
        <w:spacing w:line="400" w:lineRule="exact"/>
        <w:ind w:firstLineChars="0"/>
        <w:rPr>
          <w:sz w:val="24"/>
          <w:szCs w:val="24"/>
        </w:rPr>
      </w:pPr>
      <w:r>
        <w:rPr>
          <w:sz w:val="24"/>
          <w:szCs w:val="24"/>
        </w:rPr>
        <w:t>组织验收小组，挑选验收实施的第三方；</w:t>
      </w:r>
    </w:p>
    <w:p>
      <w:pPr>
        <w:pStyle w:val="179"/>
        <w:numPr>
          <w:ilvl w:val="0"/>
          <w:numId w:val="9"/>
        </w:numPr>
        <w:spacing w:line="400" w:lineRule="exact"/>
        <w:ind w:firstLineChars="0"/>
        <w:rPr>
          <w:sz w:val="24"/>
          <w:szCs w:val="24"/>
        </w:rPr>
      </w:pPr>
      <w:r>
        <w:rPr>
          <w:sz w:val="24"/>
          <w:szCs w:val="24"/>
        </w:rPr>
        <w:t>制定、评审验收实施计划；</w:t>
      </w:r>
    </w:p>
    <w:p>
      <w:pPr>
        <w:pStyle w:val="179"/>
        <w:numPr>
          <w:ilvl w:val="0"/>
          <w:numId w:val="9"/>
        </w:numPr>
        <w:spacing w:line="400" w:lineRule="exact"/>
        <w:ind w:firstLineChars="0"/>
        <w:rPr>
          <w:sz w:val="24"/>
          <w:szCs w:val="24"/>
        </w:rPr>
      </w:pPr>
      <w:r>
        <w:rPr>
          <w:sz w:val="24"/>
          <w:szCs w:val="24"/>
        </w:rPr>
        <w:t>准备验收环境，组织验收的配合工作，了解验收准备、实施情况；</w:t>
      </w:r>
    </w:p>
    <w:p>
      <w:pPr>
        <w:pStyle w:val="179"/>
        <w:numPr>
          <w:ilvl w:val="0"/>
          <w:numId w:val="9"/>
        </w:numPr>
        <w:spacing w:line="400" w:lineRule="exact"/>
        <w:ind w:firstLineChars="0"/>
        <w:rPr>
          <w:sz w:val="24"/>
          <w:szCs w:val="24"/>
        </w:rPr>
      </w:pPr>
      <w:r>
        <w:rPr>
          <w:sz w:val="24"/>
          <w:szCs w:val="24"/>
        </w:rPr>
        <w:t>参与验收实施，签署验收报告。</w:t>
      </w:r>
    </w:p>
    <w:p>
      <w:pPr>
        <w:spacing w:line="400" w:lineRule="exact"/>
        <w:rPr>
          <w:sz w:val="24"/>
          <w:szCs w:val="24"/>
        </w:rPr>
      </w:pPr>
    </w:p>
    <w:p>
      <w:pPr>
        <w:pStyle w:val="3"/>
        <w:pageBreakBefore/>
        <w:rPr>
          <w:sz w:val="24"/>
          <w:szCs w:val="24"/>
        </w:rPr>
      </w:pPr>
      <w:r>
        <w:rPr>
          <w:rFonts w:hint="eastAsia"/>
          <w:sz w:val="24"/>
          <w:szCs w:val="24"/>
        </w:rPr>
        <w:t>4、应答人的硬件、软件实力</w:t>
      </w:r>
    </w:p>
    <w:p>
      <w:pPr>
        <w:spacing w:line="400" w:lineRule="exact"/>
        <w:ind w:firstLine="480" w:firstLineChars="200"/>
        <w:rPr>
          <w:rFonts w:ascii="Times New Roman" w:hAnsi="Times New Roman"/>
          <w:sz w:val="24"/>
          <w:szCs w:val="24"/>
        </w:rPr>
      </w:pPr>
      <w:r>
        <w:rPr>
          <w:rFonts w:ascii="Times New Roman" w:hAnsi="Times New Roman"/>
          <w:sz w:val="24"/>
          <w:szCs w:val="24"/>
        </w:rPr>
        <w:t>四川大学电气工程学院是国家“211工程”、“985工程”一期、二期的重点建设单位，是教育部“双一流”A类大学，拥有智能电网实验室和电能质量与电磁环境学省级重点实验室。四川大学智能电网优化运行与运营实验室，现有教授3名、副教授5名、副研究员2名，讲师2名，博士、硕士研究生70余名。研究团队长期从事配电网</w:t>
      </w:r>
      <w:r>
        <w:rPr>
          <w:rFonts w:hint="eastAsia" w:ascii="Times New Roman" w:hAnsi="Times New Roman"/>
          <w:sz w:val="24"/>
          <w:szCs w:val="24"/>
        </w:rPr>
        <w:t>关键设备及其可靠性</w:t>
      </w:r>
      <w:r>
        <w:rPr>
          <w:rFonts w:ascii="Times New Roman" w:hAnsi="Times New Roman"/>
          <w:sz w:val="24"/>
          <w:szCs w:val="24"/>
        </w:rPr>
        <w:t>、</w:t>
      </w:r>
      <w:r>
        <w:rPr>
          <w:rFonts w:hint="eastAsia" w:ascii="Times New Roman" w:hAnsi="Times New Roman"/>
          <w:sz w:val="24"/>
          <w:szCs w:val="24"/>
        </w:rPr>
        <w:t>电力系统大数据技术</w:t>
      </w:r>
      <w:r>
        <w:rPr>
          <w:rFonts w:ascii="Times New Roman" w:hAnsi="Times New Roman"/>
          <w:sz w:val="24"/>
          <w:szCs w:val="24"/>
        </w:rPr>
        <w:t>、电力系统安全与稳定性分析、主动配电网可靠性、能源互联网、输变电设备状态监测</w:t>
      </w:r>
      <w:r>
        <w:rPr>
          <w:rFonts w:hint="eastAsia" w:ascii="Times New Roman" w:hAnsi="Times New Roman"/>
          <w:sz w:val="24"/>
          <w:szCs w:val="24"/>
        </w:rPr>
        <w:t>与全寿命周期管理</w:t>
      </w:r>
      <w:r>
        <w:rPr>
          <w:rFonts w:ascii="Times New Roman" w:hAnsi="Times New Roman"/>
          <w:sz w:val="24"/>
          <w:szCs w:val="24"/>
        </w:rPr>
        <w:t>等领域的教学</w:t>
      </w:r>
      <w:r>
        <w:rPr>
          <w:rFonts w:hint="eastAsia" w:ascii="Times New Roman" w:hAnsi="Times New Roman"/>
          <w:sz w:val="24"/>
          <w:szCs w:val="24"/>
        </w:rPr>
        <w:t>、</w:t>
      </w:r>
      <w:r>
        <w:rPr>
          <w:rFonts w:ascii="Times New Roman" w:hAnsi="Times New Roman"/>
          <w:sz w:val="24"/>
          <w:szCs w:val="24"/>
        </w:rPr>
        <w:t>科研</w:t>
      </w:r>
      <w:r>
        <w:rPr>
          <w:rFonts w:hint="eastAsia" w:ascii="Times New Roman" w:hAnsi="Times New Roman"/>
          <w:sz w:val="24"/>
          <w:szCs w:val="24"/>
        </w:rPr>
        <w:t>与技术服务</w:t>
      </w:r>
      <w:r>
        <w:rPr>
          <w:rFonts w:ascii="Times New Roman" w:hAnsi="Times New Roman"/>
          <w:sz w:val="24"/>
          <w:szCs w:val="24"/>
        </w:rPr>
        <w:t>工作。承担了国家高技术研究发展计划（863计划）项目、国家自然科学基金面上项目、国家自然科学基金青年项目、国家自然科学基金重大国际（地区）合作研究项目、国家重点研发计划、教育部骨干教师基金、国家973子项目等纵向科技项目；还承担多项横向课题，合作企业包括国家电网公司、南方电网公司、英国Alstom公司、</w:t>
      </w:r>
      <w:r>
        <w:rPr>
          <w:rFonts w:hint="eastAsia" w:ascii="Times New Roman" w:hAnsi="Times New Roman"/>
          <w:sz w:val="24"/>
          <w:szCs w:val="24"/>
        </w:rPr>
        <w:t>华电集团、</w:t>
      </w:r>
      <w:r>
        <w:rPr>
          <w:rFonts w:ascii="Times New Roman" w:hAnsi="Times New Roman"/>
          <w:sz w:val="24"/>
          <w:szCs w:val="24"/>
        </w:rPr>
        <w:t>大唐发电集团等</w:t>
      </w:r>
      <w:r>
        <w:rPr>
          <w:rFonts w:hint="eastAsia" w:ascii="Times New Roman" w:hAnsi="Times New Roman"/>
          <w:sz w:val="24"/>
          <w:szCs w:val="24"/>
        </w:rPr>
        <w:t>，开发电力系统可视化计算分析与设备状态监测软件20余套</w:t>
      </w:r>
      <w:r>
        <w:rPr>
          <w:rFonts w:ascii="Times New Roman" w:hAnsi="Times New Roman"/>
          <w:sz w:val="24"/>
          <w:szCs w:val="24"/>
        </w:rPr>
        <w:t>。</w:t>
      </w:r>
    </w:p>
    <w:p>
      <w:pPr>
        <w:spacing w:line="400" w:lineRule="exact"/>
        <w:ind w:firstLine="480" w:firstLineChars="200"/>
        <w:rPr>
          <w:rFonts w:ascii="Times New Roman" w:hAnsi="Times New Roman"/>
          <w:sz w:val="24"/>
          <w:szCs w:val="24"/>
        </w:rPr>
      </w:pPr>
      <w:r>
        <w:rPr>
          <w:rFonts w:ascii="Times New Roman" w:hAnsi="Times New Roman"/>
          <w:sz w:val="24"/>
          <w:szCs w:val="24"/>
        </w:rPr>
        <w:t>此外，四川大学电气工程学院电力设备绝缘及运行状态监测团队包括副教授1名、副研究员2名、讲师1名，硕士研究生近</w:t>
      </w:r>
      <w:r>
        <w:rPr>
          <w:rFonts w:hint="eastAsia" w:ascii="Times New Roman" w:hAnsi="Times New Roman"/>
          <w:sz w:val="24"/>
          <w:szCs w:val="24"/>
        </w:rPr>
        <w:t>3</w:t>
      </w:r>
      <w:r>
        <w:rPr>
          <w:rFonts w:ascii="Times New Roman" w:hAnsi="Times New Roman"/>
          <w:sz w:val="24"/>
          <w:szCs w:val="24"/>
        </w:rPr>
        <w:t>0名。长期从事</w:t>
      </w:r>
      <w:r>
        <w:rPr>
          <w:rFonts w:hint="eastAsia" w:ascii="Times New Roman" w:hAnsi="Times New Roman"/>
          <w:sz w:val="24"/>
          <w:szCs w:val="24"/>
        </w:rPr>
        <w:t>高压</w:t>
      </w:r>
      <w:r>
        <w:rPr>
          <w:rFonts w:ascii="Times New Roman" w:hAnsi="Times New Roman"/>
          <w:sz w:val="24"/>
          <w:szCs w:val="24"/>
        </w:rPr>
        <w:t>电气设备运行状态监测技术领域的教学</w:t>
      </w:r>
      <w:r>
        <w:rPr>
          <w:rFonts w:hint="eastAsia" w:ascii="Times New Roman" w:hAnsi="Times New Roman"/>
          <w:sz w:val="24"/>
          <w:szCs w:val="24"/>
        </w:rPr>
        <w:t>、</w:t>
      </w:r>
      <w:r>
        <w:rPr>
          <w:rFonts w:ascii="Times New Roman" w:hAnsi="Times New Roman"/>
          <w:sz w:val="24"/>
          <w:szCs w:val="24"/>
        </w:rPr>
        <w:t>科研</w:t>
      </w:r>
      <w:r>
        <w:rPr>
          <w:rFonts w:hint="eastAsia" w:ascii="Times New Roman" w:hAnsi="Times New Roman"/>
          <w:sz w:val="24"/>
          <w:szCs w:val="24"/>
        </w:rPr>
        <w:t>与技术服务</w:t>
      </w:r>
      <w:r>
        <w:rPr>
          <w:rFonts w:ascii="Times New Roman" w:hAnsi="Times New Roman"/>
          <w:sz w:val="24"/>
          <w:szCs w:val="24"/>
        </w:rPr>
        <w:t>工作，承担了合同金额700余万元的校企合作科技项目，合作企业包括国家电网公司、南方电网公司及其它相关企业等。已出版教材7本，发表核心期刊以上论文近百篇，其中40余篇进入SCI/EI检索，获得发明授权专利17项，实用新型专利4项，另有10余项发明专利进入实审</w:t>
      </w:r>
      <w:r>
        <w:rPr>
          <w:rFonts w:hint="eastAsia" w:ascii="Times New Roman" w:hAnsi="Times New Roman"/>
          <w:sz w:val="24"/>
          <w:szCs w:val="24"/>
        </w:rPr>
        <w:t>，实施相关高压电气设备改造升级与技术服务60台</w:t>
      </w:r>
      <w:r>
        <w:rPr>
          <w:rFonts w:ascii="Times New Roman" w:hAnsi="Times New Roman"/>
          <w:sz w:val="24"/>
          <w:szCs w:val="24"/>
        </w:rPr>
        <w:t>(</w:t>
      </w:r>
      <w:r>
        <w:rPr>
          <w:rFonts w:hint="eastAsia" w:ascii="Times New Roman" w:hAnsi="Times New Roman"/>
          <w:sz w:val="24"/>
          <w:szCs w:val="24"/>
        </w:rPr>
        <w:t>套)。</w:t>
      </w:r>
    </w:p>
    <w:p>
      <w:pPr>
        <w:spacing w:line="400" w:lineRule="exact"/>
        <w:ind w:firstLine="480" w:firstLineChars="200"/>
        <w:rPr>
          <w:rFonts w:ascii="Times New Roman" w:hAnsi="Times New Roman"/>
          <w:sz w:val="24"/>
          <w:szCs w:val="24"/>
        </w:rPr>
      </w:pPr>
      <w:r>
        <w:rPr>
          <w:rFonts w:ascii="Times New Roman" w:hAnsi="Times New Roman"/>
          <w:sz w:val="24"/>
          <w:szCs w:val="24"/>
        </w:rPr>
        <w:t>在最近三年的研究中，投标人的所在研究团队出版了10余部学术专著和教材；在国内外重要学术刊物和学术会议上发表了500余篇学术论文（其中进入SCI、EI检索系统的论文200余篇）；承担国家级、省部级和横向科研项目共160余项，多次荣获部省级奖励，包括2019年四川省科技进步奖自然科学类一等奖、2019年度中国电力科学技术一等奖“多源协同的主动配电网运行可靠性提升关键技术、设备及工程应用”等。</w:t>
      </w:r>
      <w:r>
        <w:rPr>
          <w:rFonts w:hint="eastAsia" w:ascii="Times New Roman" w:hAnsi="Times New Roman"/>
          <w:sz w:val="24"/>
          <w:szCs w:val="24"/>
        </w:rPr>
        <w:t>应答人</w:t>
      </w:r>
      <w:r>
        <w:rPr>
          <w:rFonts w:ascii="Times New Roman" w:hAnsi="Times New Roman"/>
          <w:sz w:val="24"/>
          <w:szCs w:val="24"/>
        </w:rPr>
        <w:t>拥有独立的科研实验室，具有服务器、计算机</w:t>
      </w:r>
      <w:r>
        <w:rPr>
          <w:rFonts w:hint="eastAsia" w:ascii="Times New Roman" w:hAnsi="Times New Roman"/>
          <w:sz w:val="24"/>
          <w:szCs w:val="24"/>
        </w:rPr>
        <w:t>9</w:t>
      </w:r>
      <w:r>
        <w:rPr>
          <w:rFonts w:ascii="Times New Roman" w:hAnsi="Times New Roman"/>
          <w:sz w:val="24"/>
          <w:szCs w:val="24"/>
        </w:rPr>
        <w:t>0余台及其它研究开发设备若干；具备了进一步开展本项目技术服务深入研发所需的软硬件条件。课题组已与多所国外高校建立了稳固交流关系，与英国 Brunel 大学智能电网高性能计算课题组(HiPerDNO)、牛津大学 e-Research Centre 创新实验室、Northumbria 大学结成了长期合作关系。课题组已培养和造就了一批具有求实、创新和团结、勤奋精神的年轻有为的科技工作者，相关专业范围涵盖了电力系统计算、输变电设备状态监测、电力监测传感与通信、输配电网关键设备全寿命周期评价等交叉领域，具备了良好的团队精神、严谨的科学态度和和谐的科学研究氛围。</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4445000" cy="225298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484339" cy="2272943"/>
                    </a:xfrm>
                    <a:prstGeom prst="rect">
                      <a:avLst/>
                    </a:prstGeom>
                    <a:noFill/>
                    <a:ln>
                      <a:noFill/>
                    </a:ln>
                  </pic:spPr>
                </pic:pic>
              </a:graphicData>
            </a:graphic>
          </wp:inline>
        </w:drawing>
      </w:r>
    </w:p>
    <w:p>
      <w:pPr>
        <w:jc w:val="center"/>
        <w:rPr>
          <w:sz w:val="24"/>
          <w:szCs w:val="24"/>
        </w:rPr>
      </w:pPr>
      <w:r>
        <w:rPr>
          <w:rFonts w:ascii="Times New Roman" w:hAnsi="Times New Roman"/>
        </w:rPr>
        <w:drawing>
          <wp:inline distT="0" distB="0" distL="0" distR="0">
            <wp:extent cx="4465320" cy="23622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cstate="print">
                      <a:extLst>
                        <a:ext uri="{28A0092B-C50C-407E-A947-70E740481C1C}">
                          <a14:useLocalDpi xmlns:a14="http://schemas.microsoft.com/office/drawing/2010/main" val="0"/>
                        </a:ext>
                      </a:extLst>
                    </a:blip>
                    <a:srcRect b="6184"/>
                    <a:stretch>
                      <a:fillRect/>
                    </a:stretch>
                  </pic:blipFill>
                  <pic:spPr>
                    <a:xfrm>
                      <a:off x="0" y="0"/>
                      <a:ext cx="4478118" cy="2368707"/>
                    </a:xfrm>
                    <a:prstGeom prst="rect">
                      <a:avLst/>
                    </a:prstGeom>
                    <a:ln>
                      <a:noFill/>
                    </a:ln>
                  </pic:spPr>
                </pic:pic>
              </a:graphicData>
            </a:graphic>
          </wp:inline>
        </w:drawing>
      </w:r>
    </w:p>
    <w:p>
      <w:pPr>
        <w:spacing w:line="400" w:lineRule="exact"/>
        <w:jc w:val="center"/>
        <w:rPr>
          <w:rFonts w:eastAsia="黑体"/>
          <w:szCs w:val="21"/>
        </w:rPr>
      </w:pPr>
      <w:r>
        <w:rPr>
          <w:rFonts w:hint="eastAsia" w:eastAsia="黑体"/>
          <w:szCs w:val="21"/>
        </w:rPr>
        <w:t>四川大学相关高压设备软硬件开发与测试条件</w:t>
      </w:r>
    </w:p>
    <w:p>
      <w:pPr>
        <w:pStyle w:val="3"/>
        <w:pageBreakBefore/>
        <w:rPr>
          <w:sz w:val="24"/>
          <w:szCs w:val="24"/>
        </w:rPr>
      </w:pPr>
      <w:r>
        <w:rPr>
          <w:rFonts w:hint="eastAsia"/>
          <w:sz w:val="24"/>
          <w:szCs w:val="24"/>
        </w:rPr>
        <w:t>5、项目质量保障体系及措施</w:t>
      </w:r>
    </w:p>
    <w:p>
      <w:pPr>
        <w:spacing w:before="156" w:beforeLines="50" w:after="156" w:afterLines="50" w:line="400" w:lineRule="exact"/>
        <w:rPr>
          <w:b/>
          <w:bCs/>
          <w:sz w:val="24"/>
          <w:szCs w:val="24"/>
          <w:u w:val="single"/>
        </w:rPr>
      </w:pPr>
      <w:r>
        <w:rPr>
          <w:rFonts w:hint="eastAsia"/>
          <w:b/>
          <w:bCs/>
          <w:sz w:val="24"/>
          <w:szCs w:val="24"/>
          <w:u w:val="single"/>
        </w:rPr>
        <w:t>1）积极配合改造项目质量保障沟通</w:t>
      </w:r>
    </w:p>
    <w:p>
      <w:pPr>
        <w:spacing w:line="400" w:lineRule="exact"/>
        <w:rPr>
          <w:sz w:val="24"/>
          <w:szCs w:val="24"/>
        </w:rPr>
      </w:pPr>
      <w:r>
        <w:rPr>
          <w:rFonts w:hint="eastAsia"/>
          <w:sz w:val="24"/>
          <w:szCs w:val="24"/>
        </w:rPr>
        <w:t>项目承担方工程组织、协调、控制的配合中，需要积极主动，并承担相关责任：</w:t>
      </w:r>
    </w:p>
    <w:p>
      <w:pPr>
        <w:pStyle w:val="179"/>
        <w:numPr>
          <w:ilvl w:val="0"/>
          <w:numId w:val="10"/>
        </w:numPr>
        <w:spacing w:line="400" w:lineRule="exact"/>
        <w:ind w:firstLineChars="0"/>
        <w:rPr>
          <w:sz w:val="24"/>
          <w:szCs w:val="24"/>
        </w:rPr>
      </w:pPr>
      <w:r>
        <w:rPr>
          <w:sz w:val="24"/>
          <w:szCs w:val="24"/>
        </w:rPr>
        <w:t>控制工程实施、产品安装进度，</w:t>
      </w:r>
      <w:r>
        <w:rPr>
          <w:rFonts w:hint="eastAsia"/>
          <w:sz w:val="24"/>
          <w:szCs w:val="24"/>
        </w:rPr>
        <w:t>确保</w:t>
      </w:r>
      <w:r>
        <w:rPr>
          <w:sz w:val="24"/>
          <w:szCs w:val="24"/>
        </w:rPr>
        <w:t>工程实施</w:t>
      </w:r>
      <w:r>
        <w:rPr>
          <w:rFonts w:hint="eastAsia"/>
          <w:sz w:val="24"/>
          <w:szCs w:val="24"/>
        </w:rPr>
        <w:t>质量与</w:t>
      </w:r>
      <w:r>
        <w:rPr>
          <w:sz w:val="24"/>
          <w:szCs w:val="24"/>
        </w:rPr>
        <w:t>进度。</w:t>
      </w:r>
    </w:p>
    <w:p>
      <w:pPr>
        <w:pStyle w:val="179"/>
        <w:numPr>
          <w:ilvl w:val="0"/>
          <w:numId w:val="10"/>
        </w:numPr>
        <w:spacing w:line="400" w:lineRule="exact"/>
        <w:ind w:firstLineChars="0"/>
        <w:rPr>
          <w:sz w:val="24"/>
          <w:szCs w:val="24"/>
        </w:rPr>
      </w:pPr>
      <w:r>
        <w:rPr>
          <w:sz w:val="24"/>
          <w:szCs w:val="24"/>
        </w:rPr>
        <w:t>定期向用户方汇工程进度，使</w:t>
      </w:r>
      <w:r>
        <w:rPr>
          <w:rFonts w:hint="eastAsia"/>
          <w:sz w:val="24"/>
          <w:szCs w:val="24"/>
        </w:rPr>
        <w:t>发包人</w:t>
      </w:r>
      <w:r>
        <w:rPr>
          <w:sz w:val="24"/>
          <w:szCs w:val="24"/>
        </w:rPr>
        <w:t>及时的了解工程进展状态。</w:t>
      </w:r>
    </w:p>
    <w:p>
      <w:pPr>
        <w:pStyle w:val="179"/>
        <w:numPr>
          <w:ilvl w:val="0"/>
          <w:numId w:val="10"/>
        </w:numPr>
        <w:spacing w:line="400" w:lineRule="exact"/>
        <w:ind w:firstLineChars="0"/>
        <w:rPr>
          <w:sz w:val="24"/>
          <w:szCs w:val="24"/>
        </w:rPr>
      </w:pPr>
      <w:r>
        <w:rPr>
          <w:sz w:val="24"/>
          <w:szCs w:val="24"/>
        </w:rPr>
        <w:t>工程实施过程中产品相关技术问题的定位、解决。</w:t>
      </w:r>
    </w:p>
    <w:p>
      <w:pPr>
        <w:spacing w:before="156" w:beforeLines="50" w:after="156" w:afterLines="50" w:line="400" w:lineRule="exact"/>
        <w:rPr>
          <w:b/>
          <w:bCs/>
          <w:sz w:val="24"/>
          <w:szCs w:val="24"/>
          <w:u w:val="single"/>
        </w:rPr>
      </w:pPr>
      <w:r>
        <w:rPr>
          <w:rFonts w:hint="eastAsia"/>
          <w:b/>
          <w:bCs/>
          <w:sz w:val="24"/>
          <w:szCs w:val="24"/>
          <w:u w:val="single"/>
        </w:rPr>
        <w:t>2）项目质量控制流程</w:t>
      </w:r>
    </w:p>
    <w:p>
      <w:pPr>
        <w:pStyle w:val="179"/>
        <w:numPr>
          <w:ilvl w:val="0"/>
          <w:numId w:val="11"/>
        </w:numPr>
        <w:spacing w:line="400" w:lineRule="exact"/>
        <w:ind w:firstLineChars="0"/>
        <w:rPr>
          <w:sz w:val="24"/>
          <w:szCs w:val="24"/>
        </w:rPr>
      </w:pPr>
      <w:r>
        <w:rPr>
          <w:rFonts w:hint="eastAsia"/>
          <w:sz w:val="24"/>
          <w:szCs w:val="24"/>
        </w:rPr>
        <w:t>问题反馈：超期任务与项目组成员沟通，确定问题原因。</w:t>
      </w:r>
    </w:p>
    <w:p>
      <w:pPr>
        <w:pStyle w:val="179"/>
        <w:numPr>
          <w:ilvl w:val="0"/>
          <w:numId w:val="11"/>
        </w:numPr>
        <w:spacing w:line="400" w:lineRule="exact"/>
        <w:ind w:firstLineChars="0"/>
        <w:rPr>
          <w:sz w:val="24"/>
          <w:szCs w:val="24"/>
        </w:rPr>
      </w:pPr>
      <w:r>
        <w:rPr>
          <w:sz w:val="24"/>
          <w:szCs w:val="24"/>
        </w:rPr>
        <w:t>是否需要调整：与项目组成员沟通，对超期任务进行分析，确定调整计划。</w:t>
      </w:r>
    </w:p>
    <w:p>
      <w:pPr>
        <w:pStyle w:val="179"/>
        <w:numPr>
          <w:ilvl w:val="0"/>
          <w:numId w:val="11"/>
        </w:numPr>
        <w:spacing w:line="400" w:lineRule="exact"/>
        <w:ind w:firstLineChars="0"/>
        <w:rPr>
          <w:sz w:val="24"/>
          <w:szCs w:val="24"/>
        </w:rPr>
      </w:pPr>
      <w:r>
        <w:rPr>
          <w:sz w:val="24"/>
          <w:szCs w:val="24"/>
        </w:rPr>
        <w:t>调整计划：对问题列表计划进行调整。</w:t>
      </w:r>
    </w:p>
    <w:p>
      <w:pPr>
        <w:spacing w:before="156" w:beforeLines="50" w:after="156" w:afterLines="50" w:line="400" w:lineRule="exact"/>
        <w:rPr>
          <w:b/>
          <w:bCs/>
          <w:sz w:val="24"/>
          <w:szCs w:val="24"/>
          <w:u w:val="single"/>
        </w:rPr>
      </w:pPr>
      <w:r>
        <w:rPr>
          <w:rFonts w:hint="eastAsia"/>
          <w:b/>
          <w:bCs/>
          <w:sz w:val="24"/>
          <w:szCs w:val="24"/>
          <w:u w:val="single"/>
        </w:rPr>
        <w:t>3）项目质量保证期</w:t>
      </w:r>
    </w:p>
    <w:p>
      <w:pPr>
        <w:spacing w:line="400" w:lineRule="exact"/>
        <w:ind w:firstLine="480" w:firstLineChars="200"/>
        <w:rPr>
          <w:sz w:val="24"/>
          <w:szCs w:val="24"/>
        </w:rPr>
      </w:pPr>
      <w:r>
        <w:rPr>
          <w:rFonts w:hint="eastAsia"/>
          <w:sz w:val="24"/>
          <w:szCs w:val="24"/>
        </w:rPr>
        <w:t>保证技术升级改造后，大电流开关柜散热（除湿）装置控制器安全、稳定地运行，满足运检人员的使用要求，协助发包方对产品进行全面的维护。应答人针对该项目承诺质保期为3年</w:t>
      </w:r>
      <w:r>
        <w:rPr>
          <w:sz w:val="24"/>
          <w:szCs w:val="24"/>
        </w:rPr>
        <w:t>，质保期限自验收合格双方签字时算起。在保修期内，</w:t>
      </w:r>
      <w:r>
        <w:rPr>
          <w:rFonts w:hint="eastAsia"/>
          <w:sz w:val="24"/>
          <w:szCs w:val="24"/>
        </w:rPr>
        <w:t>应答人</w:t>
      </w:r>
      <w:r>
        <w:rPr>
          <w:sz w:val="24"/>
          <w:szCs w:val="24"/>
        </w:rPr>
        <w:t>需提供免费的维修零配件及人工。质保期结束后，以优惠于当时市场价提供配件及维修保养。</w:t>
      </w:r>
    </w:p>
    <w:p>
      <w:pPr>
        <w:spacing w:before="156" w:beforeLines="50" w:after="156" w:afterLines="50" w:line="400" w:lineRule="exact"/>
        <w:rPr>
          <w:b/>
          <w:bCs/>
          <w:sz w:val="24"/>
          <w:szCs w:val="24"/>
          <w:u w:val="single"/>
        </w:rPr>
      </w:pPr>
      <w:r>
        <w:rPr>
          <w:rFonts w:hint="eastAsia"/>
          <w:b/>
          <w:bCs/>
          <w:sz w:val="24"/>
          <w:szCs w:val="24"/>
          <w:u w:val="single"/>
        </w:rPr>
        <w:t>4）项目质量期后维护服务内容</w:t>
      </w:r>
    </w:p>
    <w:p>
      <w:pPr>
        <w:pStyle w:val="179"/>
        <w:numPr>
          <w:ilvl w:val="0"/>
          <w:numId w:val="12"/>
        </w:numPr>
        <w:spacing w:line="400" w:lineRule="exact"/>
        <w:ind w:firstLineChars="0"/>
        <w:rPr>
          <w:sz w:val="24"/>
          <w:szCs w:val="24"/>
        </w:rPr>
      </w:pPr>
      <w:r>
        <w:rPr>
          <w:rFonts w:hint="eastAsia"/>
          <w:sz w:val="24"/>
          <w:szCs w:val="24"/>
        </w:rPr>
        <w:t>开展多层次的培训服务。</w:t>
      </w:r>
    </w:p>
    <w:p>
      <w:pPr>
        <w:pStyle w:val="179"/>
        <w:numPr>
          <w:ilvl w:val="0"/>
          <w:numId w:val="12"/>
        </w:numPr>
        <w:spacing w:line="400" w:lineRule="exact"/>
        <w:ind w:firstLineChars="0"/>
        <w:rPr>
          <w:sz w:val="24"/>
          <w:szCs w:val="24"/>
        </w:rPr>
      </w:pPr>
      <w:r>
        <w:rPr>
          <w:rFonts w:hint="eastAsia"/>
          <w:sz w:val="24"/>
          <w:szCs w:val="24"/>
        </w:rPr>
        <w:t>各层次的故障维护，承诺指派专人负责对接。</w:t>
      </w:r>
    </w:p>
    <w:p>
      <w:pPr>
        <w:pStyle w:val="179"/>
        <w:numPr>
          <w:ilvl w:val="0"/>
          <w:numId w:val="12"/>
        </w:numPr>
        <w:spacing w:line="400" w:lineRule="exact"/>
        <w:ind w:firstLineChars="0"/>
        <w:rPr>
          <w:sz w:val="24"/>
          <w:szCs w:val="24"/>
        </w:rPr>
      </w:pPr>
      <w:r>
        <w:rPr>
          <w:rFonts w:hint="eastAsia"/>
          <w:sz w:val="24"/>
          <w:szCs w:val="24"/>
        </w:rPr>
        <w:t>经过相关技术培训，运检人员能够进行常规的故障维护，应答人给予必要的技术咨询服务等技术支持；如在应答人技术支持下也无法解决重大的产品故障问题，由我方派遣技术专家上门维护。</w:t>
      </w:r>
    </w:p>
    <w:p>
      <w:pPr>
        <w:pStyle w:val="179"/>
        <w:numPr>
          <w:ilvl w:val="0"/>
          <w:numId w:val="12"/>
        </w:numPr>
        <w:spacing w:line="400" w:lineRule="exact"/>
        <w:ind w:firstLineChars="0"/>
        <w:rPr>
          <w:sz w:val="24"/>
          <w:szCs w:val="24"/>
        </w:rPr>
      </w:pPr>
      <w:r>
        <w:rPr>
          <w:rFonts w:hint="eastAsia"/>
          <w:sz w:val="24"/>
          <w:szCs w:val="24"/>
        </w:rPr>
        <w:t>常规的故障维护可以分为：当项目相关改造模块运行出现异常或故障时进行的维护工作；相关控制器因为数据环境变更、硬件更新等原因需要变动时进行的维护工作。</w:t>
      </w:r>
    </w:p>
    <w:p>
      <w:pPr>
        <w:spacing w:before="156" w:beforeLines="50" w:after="156" w:afterLines="50" w:line="400" w:lineRule="exact"/>
        <w:rPr>
          <w:b/>
          <w:bCs/>
          <w:sz w:val="24"/>
          <w:szCs w:val="24"/>
          <w:u w:val="single"/>
        </w:rPr>
      </w:pPr>
      <w:r>
        <w:rPr>
          <w:rFonts w:hint="eastAsia"/>
          <w:b/>
          <w:bCs/>
          <w:sz w:val="24"/>
          <w:szCs w:val="24"/>
          <w:u w:val="single"/>
        </w:rPr>
        <w:t>5）项目实时技术支持</w:t>
      </w:r>
    </w:p>
    <w:p>
      <w:pPr>
        <w:spacing w:line="400" w:lineRule="exact"/>
        <w:ind w:firstLine="480" w:firstLineChars="200"/>
        <w:rPr>
          <w:sz w:val="24"/>
          <w:szCs w:val="24"/>
        </w:rPr>
      </w:pPr>
      <w:r>
        <w:rPr>
          <w:rFonts w:hint="eastAsia"/>
          <w:sz w:val="24"/>
          <w:szCs w:val="24"/>
        </w:rPr>
        <w:t>大电流开关柜散热（除湿）装置控制器控制技术升级改造及维护功能模块安装调试、试运行期间，免费派出技术人员参加，并提供免费的技术咨询服务。接到要求时向用户单位提供如何使用的咨询。当相关改造模块出现问题不能及时解决，保障在</w:t>
      </w:r>
      <w:r>
        <w:rPr>
          <w:sz w:val="24"/>
          <w:szCs w:val="24"/>
        </w:rPr>
        <w:t>24小时钟内到达现场处，对设备出现的较大问题，解决时间不应超过两个日历日。</w:t>
      </w:r>
      <w:r>
        <w:rPr>
          <w:rFonts w:hint="eastAsia"/>
          <w:sz w:val="24"/>
          <w:szCs w:val="24"/>
        </w:rPr>
        <w:t>在质保期内提供</w:t>
      </w:r>
      <w:r>
        <w:rPr>
          <w:sz w:val="24"/>
          <w:szCs w:val="24"/>
        </w:rPr>
        <w:t>7×24×365的全年实时技术支持。</w:t>
      </w:r>
    </w:p>
    <w:p>
      <w:pPr>
        <w:spacing w:before="156" w:beforeLines="50" w:after="156" w:afterLines="50" w:line="400" w:lineRule="exact"/>
        <w:rPr>
          <w:b/>
          <w:bCs/>
          <w:sz w:val="24"/>
          <w:szCs w:val="24"/>
          <w:u w:val="single"/>
        </w:rPr>
      </w:pPr>
      <w:r>
        <w:rPr>
          <w:rFonts w:hint="eastAsia"/>
          <w:b/>
          <w:bCs/>
          <w:sz w:val="24"/>
          <w:szCs w:val="24"/>
          <w:u w:val="single"/>
        </w:rPr>
        <w:t>6）故障响应与定期跟踪</w:t>
      </w:r>
    </w:p>
    <w:p>
      <w:pPr>
        <w:pStyle w:val="179"/>
        <w:numPr>
          <w:ilvl w:val="0"/>
          <w:numId w:val="13"/>
        </w:numPr>
        <w:spacing w:line="400" w:lineRule="exact"/>
        <w:ind w:firstLineChars="0"/>
        <w:rPr>
          <w:sz w:val="24"/>
          <w:szCs w:val="24"/>
        </w:rPr>
      </w:pPr>
      <w:r>
        <w:rPr>
          <w:rFonts w:hint="eastAsia"/>
          <w:sz w:val="24"/>
          <w:szCs w:val="24"/>
        </w:rPr>
        <w:t>应答人团队接到发包人单位要求时，在</w:t>
      </w:r>
      <w:r>
        <w:rPr>
          <w:sz w:val="24"/>
          <w:szCs w:val="24"/>
        </w:rPr>
        <w:t>24小时内到现场提供技术响应。7×24小时的实时故障响应，</w:t>
      </w:r>
      <w:r>
        <w:rPr>
          <w:rFonts w:hint="eastAsia"/>
          <w:sz w:val="24"/>
          <w:szCs w:val="24"/>
        </w:rPr>
        <w:t>改造功能模块</w:t>
      </w:r>
      <w:r>
        <w:rPr>
          <w:sz w:val="24"/>
          <w:szCs w:val="24"/>
        </w:rPr>
        <w:t>出现设备故障的，在故障发生的24小时内，派专业技术人员到达现场；产品硬件故障在2个日历日内解决。</w:t>
      </w:r>
    </w:p>
    <w:p>
      <w:pPr>
        <w:pStyle w:val="179"/>
        <w:numPr>
          <w:ilvl w:val="0"/>
          <w:numId w:val="13"/>
        </w:numPr>
        <w:spacing w:line="400" w:lineRule="exact"/>
        <w:ind w:firstLineChars="0"/>
        <w:rPr>
          <w:sz w:val="24"/>
          <w:szCs w:val="24"/>
        </w:rPr>
      </w:pPr>
      <w:r>
        <w:rPr>
          <w:rFonts w:hint="eastAsia"/>
          <w:sz w:val="24"/>
          <w:szCs w:val="24"/>
        </w:rPr>
        <w:t>项目验收完毕后，将定期通过电话跟踪产品使用情况，及时了解存在的问题，并给予解决。必要时，派遣技术人员去现场解决实际存在的问题。定期派遣技术人员现场回访，了解产品的运行情况，听取意见和建议，解决存在的问题。</w:t>
      </w:r>
    </w:p>
    <w:p>
      <w:pPr>
        <w:spacing w:before="156" w:beforeLines="50" w:after="156" w:afterLines="50" w:line="400" w:lineRule="exact"/>
        <w:rPr>
          <w:b/>
          <w:bCs/>
          <w:sz w:val="24"/>
          <w:szCs w:val="24"/>
          <w:u w:val="single"/>
        </w:rPr>
      </w:pPr>
      <w:r>
        <w:rPr>
          <w:rFonts w:hint="eastAsia"/>
          <w:b/>
          <w:bCs/>
          <w:sz w:val="24"/>
          <w:szCs w:val="24"/>
          <w:u w:val="single"/>
        </w:rPr>
        <w:t>7）热线服务与技术资料</w:t>
      </w:r>
    </w:p>
    <w:p>
      <w:pPr>
        <w:spacing w:line="400" w:lineRule="exact"/>
        <w:ind w:firstLine="480" w:firstLineChars="200"/>
        <w:rPr>
          <w:rFonts w:ascii="Times New Roman" w:hAnsi="Times New Roman"/>
          <w:sz w:val="24"/>
          <w:szCs w:val="24"/>
        </w:rPr>
      </w:pPr>
      <w:r>
        <w:rPr>
          <w:rFonts w:ascii="Times New Roman" w:hAnsi="Times New Roman"/>
          <w:sz w:val="24"/>
          <w:szCs w:val="24"/>
        </w:rPr>
        <w:t>提供热线电话、Email或传真等其他途径随时回答</w:t>
      </w:r>
      <w:r>
        <w:rPr>
          <w:rFonts w:hint="eastAsia" w:ascii="Times New Roman" w:hAnsi="Times New Roman"/>
          <w:sz w:val="24"/>
          <w:szCs w:val="24"/>
        </w:rPr>
        <w:t>发包人</w:t>
      </w:r>
      <w:r>
        <w:rPr>
          <w:rFonts w:ascii="Times New Roman" w:hAnsi="Times New Roman"/>
          <w:sz w:val="24"/>
          <w:szCs w:val="24"/>
        </w:rPr>
        <w:t>的各种技术问题并在24小时之内提出解决方案。</w:t>
      </w:r>
      <w:r>
        <w:rPr>
          <w:rFonts w:hint="eastAsia" w:ascii="Times New Roman" w:hAnsi="Times New Roman"/>
          <w:sz w:val="24"/>
          <w:szCs w:val="24"/>
        </w:rPr>
        <w:t>应答人承诺</w:t>
      </w:r>
      <w:r>
        <w:rPr>
          <w:rFonts w:ascii="Times New Roman" w:hAnsi="Times New Roman"/>
          <w:sz w:val="24"/>
          <w:szCs w:val="24"/>
        </w:rPr>
        <w:t>提供完备的技术文档资料。具体包括产品管理手册、用户使用手册、需求规格说明书等产品技术资料。</w:t>
      </w:r>
      <w:r>
        <w:rPr>
          <w:rFonts w:hint="eastAsia" w:ascii="Times New Roman" w:hAnsi="Times New Roman"/>
          <w:sz w:val="24"/>
          <w:szCs w:val="24"/>
        </w:rPr>
        <w:t>技术支持形式包括：</w:t>
      </w:r>
      <w:r>
        <w:rPr>
          <w:rFonts w:ascii="Times New Roman" w:hAnsi="Times New Roman"/>
          <w:sz w:val="24"/>
          <w:szCs w:val="24"/>
        </w:rPr>
        <w:t>电话支持</w:t>
      </w:r>
      <w:r>
        <w:rPr>
          <w:rFonts w:hint="eastAsia" w:ascii="Times New Roman" w:hAnsi="Times New Roman"/>
          <w:sz w:val="24"/>
          <w:szCs w:val="24"/>
        </w:rPr>
        <w:t>、</w:t>
      </w:r>
      <w:r>
        <w:rPr>
          <w:rFonts w:ascii="Times New Roman" w:hAnsi="Times New Roman"/>
          <w:sz w:val="24"/>
          <w:szCs w:val="24"/>
        </w:rPr>
        <w:t>远程维护</w:t>
      </w:r>
      <w:r>
        <w:rPr>
          <w:rFonts w:hint="eastAsia" w:ascii="Times New Roman" w:hAnsi="Times New Roman"/>
          <w:sz w:val="24"/>
          <w:szCs w:val="24"/>
        </w:rPr>
        <w:t>、</w:t>
      </w:r>
      <w:r>
        <w:rPr>
          <w:rFonts w:ascii="Times New Roman" w:hAnsi="Times New Roman"/>
          <w:sz w:val="24"/>
          <w:szCs w:val="24"/>
        </w:rPr>
        <w:t>现场维护</w:t>
      </w:r>
      <w:r>
        <w:rPr>
          <w:rFonts w:hint="eastAsia" w:ascii="Times New Roman" w:hAnsi="Times New Roman"/>
          <w:sz w:val="24"/>
          <w:szCs w:val="24"/>
        </w:rPr>
        <w:t>、</w:t>
      </w:r>
      <w:r>
        <w:rPr>
          <w:rFonts w:ascii="Times New Roman" w:hAnsi="Times New Roman"/>
          <w:sz w:val="24"/>
          <w:szCs w:val="24"/>
        </w:rPr>
        <w:t>故障报告和预防</w:t>
      </w:r>
      <w:r>
        <w:rPr>
          <w:rFonts w:hint="eastAsia" w:ascii="Times New Roman" w:hAnsi="Times New Roman"/>
          <w:sz w:val="24"/>
          <w:szCs w:val="24"/>
        </w:rPr>
        <w:t>。</w:t>
      </w:r>
    </w:p>
    <w:p>
      <w:pPr>
        <w:spacing w:before="156" w:beforeLines="50" w:after="156" w:afterLines="50" w:line="400" w:lineRule="exact"/>
        <w:rPr>
          <w:b/>
          <w:bCs/>
          <w:sz w:val="24"/>
          <w:szCs w:val="24"/>
          <w:u w:val="single"/>
        </w:rPr>
      </w:pPr>
      <w:r>
        <w:rPr>
          <w:rFonts w:hint="eastAsia"/>
          <w:b/>
          <w:bCs/>
          <w:sz w:val="24"/>
          <w:szCs w:val="24"/>
          <w:u w:val="single"/>
        </w:rPr>
        <w:t>8）项目质量保障响应时间</w:t>
      </w:r>
    </w:p>
    <w:p>
      <w:pPr>
        <w:pStyle w:val="179"/>
        <w:numPr>
          <w:ilvl w:val="0"/>
          <w:numId w:val="14"/>
        </w:numPr>
        <w:spacing w:line="400" w:lineRule="exact"/>
        <w:ind w:firstLineChars="0"/>
        <w:rPr>
          <w:rFonts w:ascii="Times New Roman" w:hAnsi="Times New Roman"/>
          <w:sz w:val="24"/>
          <w:szCs w:val="24"/>
        </w:rPr>
      </w:pPr>
      <w:r>
        <w:rPr>
          <w:rFonts w:hint="eastAsia" w:ascii="Times New Roman" w:hAnsi="Times New Roman"/>
          <w:sz w:val="24"/>
          <w:szCs w:val="24"/>
        </w:rPr>
        <w:t>保修期内和保修期后，如相关改造模块发生故障，在接到客户电话或传真通知后</w:t>
      </w:r>
      <w:r>
        <w:rPr>
          <w:rFonts w:ascii="Times New Roman" w:hAnsi="Times New Roman"/>
          <w:sz w:val="24"/>
          <w:szCs w:val="24"/>
        </w:rPr>
        <w:t>24小时内安排服务人员到达现场，对设备出现的较大问题，解决时间不应超过两个日历日。</w:t>
      </w:r>
      <w:r>
        <w:rPr>
          <w:rFonts w:hint="eastAsia" w:ascii="Times New Roman" w:hAnsi="Times New Roman"/>
          <w:sz w:val="24"/>
          <w:szCs w:val="24"/>
        </w:rPr>
        <w:t>在保修期内，如仪器设备出现故障，必须在三个日历日内完成维修工作，否则更换新仪器设备。</w:t>
      </w:r>
    </w:p>
    <w:p>
      <w:pPr>
        <w:pStyle w:val="179"/>
        <w:numPr>
          <w:ilvl w:val="0"/>
          <w:numId w:val="14"/>
        </w:numPr>
        <w:spacing w:line="400" w:lineRule="exact"/>
        <w:ind w:firstLineChars="0"/>
        <w:rPr>
          <w:rFonts w:ascii="Times New Roman" w:hAnsi="Times New Roman"/>
          <w:sz w:val="24"/>
          <w:szCs w:val="24"/>
        </w:rPr>
      </w:pPr>
      <w:r>
        <w:rPr>
          <w:rFonts w:hint="eastAsia" w:ascii="Times New Roman" w:hAnsi="Times New Roman"/>
          <w:sz w:val="24"/>
          <w:szCs w:val="24"/>
        </w:rPr>
        <w:t>应答人提供的客户回访维护制度。进行产品的售后服务工作，对合同设备向客户提供质保期内免费保修服务。承诺的售后服务是连续进行的，直至故障维修完毕恢复正常运行，并将故障内容和原因、处理过程和方法、完成处理及恢复正常的时间和日期等以书面形式报告最终用户。整体体系如下图：</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2190750" cy="2011680"/>
            <wp:effectExtent l="0" t="0" r="0" b="762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203101" cy="2023255"/>
                    </a:xfrm>
                    <a:prstGeom prst="rect">
                      <a:avLst/>
                    </a:prstGeom>
                    <a:noFill/>
                    <a:ln>
                      <a:noFill/>
                    </a:ln>
                  </pic:spPr>
                </pic:pic>
              </a:graphicData>
            </a:graphic>
          </wp:inline>
        </w:drawing>
      </w:r>
    </w:p>
    <w:p>
      <w:pPr>
        <w:spacing w:before="156" w:beforeLines="50" w:after="156" w:afterLines="50" w:line="400" w:lineRule="exact"/>
        <w:rPr>
          <w:b/>
          <w:bCs/>
          <w:sz w:val="24"/>
          <w:szCs w:val="24"/>
          <w:u w:val="single"/>
        </w:rPr>
      </w:pPr>
      <w:r>
        <w:rPr>
          <w:rFonts w:hint="eastAsia"/>
          <w:b/>
          <w:bCs/>
          <w:sz w:val="24"/>
          <w:szCs w:val="24"/>
          <w:u w:val="single"/>
        </w:rPr>
        <w:t>9）项目质量管控目标</w:t>
      </w:r>
    </w:p>
    <w:p>
      <w:pPr>
        <w:spacing w:line="400" w:lineRule="exact"/>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1）单位工程合格率</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spacing w:line="400" w:lineRule="exact"/>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2）工程合格率</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spacing w:line="400" w:lineRule="exact"/>
        <w:rPr>
          <w:rFonts w:ascii="Times New Roman" w:hAnsi="Times New Roman"/>
          <w:sz w:val="24"/>
          <w:szCs w:val="24"/>
        </w:rPr>
      </w:pPr>
      <w:r>
        <w:rPr>
          <w:rFonts w:hint="eastAsia" w:ascii="Times New Roman" w:hAnsi="Times New Roman"/>
          <w:sz w:val="24"/>
          <w:szCs w:val="24"/>
        </w:rPr>
        <w:t>（3</w:t>
      </w:r>
      <w:r>
        <w:rPr>
          <w:rFonts w:ascii="Times New Roman" w:hAnsi="Times New Roman"/>
          <w:sz w:val="24"/>
          <w:szCs w:val="24"/>
        </w:rPr>
        <w:t>）杜绝重大质量事故、确保工程无永久性缺陷。</w:t>
      </w:r>
    </w:p>
    <w:p>
      <w:pPr>
        <w:spacing w:line="400" w:lineRule="exact"/>
        <w:rPr>
          <w:rFonts w:ascii="Times New Roman" w:hAnsi="Times New Roman"/>
          <w:sz w:val="24"/>
          <w:szCs w:val="24"/>
        </w:rPr>
      </w:pPr>
      <w:r>
        <w:rPr>
          <w:rFonts w:hint="eastAsia" w:ascii="Times New Roman" w:hAnsi="Times New Roman"/>
          <w:sz w:val="24"/>
          <w:szCs w:val="24"/>
        </w:rPr>
        <w:t>（4</w:t>
      </w:r>
      <w:r>
        <w:rPr>
          <w:rFonts w:ascii="Times New Roman" w:hAnsi="Times New Roman"/>
          <w:sz w:val="24"/>
          <w:szCs w:val="24"/>
        </w:rPr>
        <w:t>）质量记录和竣工资料真实、齐全、整洁，按时移交。</w:t>
      </w:r>
    </w:p>
    <w:p>
      <w:pPr>
        <w:spacing w:line="400" w:lineRule="exact"/>
        <w:rPr>
          <w:rFonts w:ascii="Times New Roman" w:hAnsi="Times New Roman"/>
          <w:sz w:val="24"/>
          <w:szCs w:val="24"/>
        </w:rPr>
      </w:pPr>
      <w:r>
        <w:rPr>
          <w:rFonts w:hint="eastAsia" w:ascii="Times New Roman" w:hAnsi="Times New Roman"/>
          <w:sz w:val="24"/>
          <w:szCs w:val="24"/>
        </w:rPr>
        <w:t>（5</w:t>
      </w:r>
      <w:r>
        <w:rPr>
          <w:rFonts w:ascii="Times New Roman" w:hAnsi="Times New Roman"/>
          <w:sz w:val="24"/>
          <w:szCs w:val="24"/>
        </w:rPr>
        <w:t>）</w:t>
      </w:r>
      <w:r>
        <w:rPr>
          <w:rFonts w:hint="eastAsia" w:ascii="Times New Roman" w:hAnsi="Times New Roman"/>
          <w:sz w:val="24"/>
          <w:szCs w:val="24"/>
        </w:rPr>
        <w:t>完全满足发包方技术需求</w:t>
      </w:r>
      <w:r>
        <w:rPr>
          <w:rFonts w:ascii="Times New Roman" w:hAnsi="Times New Roman"/>
          <w:sz w:val="24"/>
          <w:szCs w:val="24"/>
        </w:rPr>
        <w:t>。</w:t>
      </w:r>
    </w:p>
    <w:p>
      <w:pPr>
        <w:spacing w:line="400" w:lineRule="exact"/>
        <w:rPr>
          <w:rFonts w:ascii="Times New Roman" w:hAnsi="Times New Roman"/>
          <w:sz w:val="24"/>
          <w:szCs w:val="24"/>
        </w:rPr>
      </w:pPr>
      <w:r>
        <w:rPr>
          <w:rFonts w:hint="eastAsia" w:ascii="Times New Roman" w:hAnsi="Times New Roman"/>
          <w:sz w:val="24"/>
          <w:szCs w:val="24"/>
        </w:rPr>
        <w:t>（6</w:t>
      </w:r>
      <w:r>
        <w:rPr>
          <w:rFonts w:ascii="Times New Roman" w:hAnsi="Times New Roman"/>
          <w:sz w:val="24"/>
          <w:szCs w:val="24"/>
        </w:rPr>
        <w:t>）满足国家设计、施工验收规范，优良工程标准，</w:t>
      </w:r>
      <w:r>
        <w:rPr>
          <w:rFonts w:hint="eastAsia" w:ascii="Times New Roman" w:hAnsi="Times New Roman"/>
          <w:sz w:val="24"/>
          <w:szCs w:val="24"/>
        </w:rPr>
        <w:t>项目“零缺陷”投运</w:t>
      </w:r>
      <w:r>
        <w:rPr>
          <w:rFonts w:ascii="Times New Roman" w:hAnsi="Times New Roman"/>
          <w:sz w:val="24"/>
          <w:szCs w:val="24"/>
        </w:rPr>
        <w:t>。</w:t>
      </w:r>
    </w:p>
    <w:p>
      <w:pPr>
        <w:spacing w:before="156" w:beforeLines="50" w:after="156" w:afterLines="50" w:line="400" w:lineRule="exact"/>
        <w:rPr>
          <w:b/>
          <w:bCs/>
          <w:sz w:val="24"/>
          <w:szCs w:val="24"/>
          <w:u w:val="single"/>
        </w:rPr>
      </w:pPr>
      <w:r>
        <w:rPr>
          <w:rFonts w:hint="eastAsia"/>
          <w:b/>
          <w:bCs/>
          <w:sz w:val="24"/>
          <w:szCs w:val="24"/>
          <w:u w:val="single"/>
        </w:rPr>
        <w:t>10）配置项目质量保障小组</w:t>
      </w:r>
    </w:p>
    <w:p>
      <w:pPr>
        <w:spacing w:line="400" w:lineRule="exact"/>
        <w:ind w:firstLine="480" w:firstLineChars="200"/>
        <w:rPr>
          <w:rFonts w:ascii="Times New Roman" w:hAnsi="Times New Roman"/>
          <w:sz w:val="24"/>
          <w:szCs w:val="24"/>
        </w:rPr>
      </w:pPr>
      <w:r>
        <w:rPr>
          <w:rFonts w:hint="eastAsia" w:ascii="Times New Roman" w:hAnsi="Times New Roman"/>
          <w:sz w:val="24"/>
          <w:szCs w:val="24"/>
        </w:rPr>
        <w:t>质量保障小组作为本项目应答方质量保证的实施小组，主要职责是保证此次技术改造透明实施的主要环节。在项目实施的过程中几乎所有的部门都与质量保证小组有关。质量保障小组对项目经理提供项目进度与项目真实施时的差异报告，提出差异原因和改进方法。</w:t>
      </w:r>
    </w:p>
    <w:p>
      <w:pPr>
        <w:spacing w:line="400" w:lineRule="exact"/>
        <w:ind w:firstLine="480" w:firstLineChars="200"/>
        <w:rPr>
          <w:rFonts w:ascii="Times New Roman" w:hAnsi="Times New Roman"/>
          <w:sz w:val="24"/>
          <w:szCs w:val="24"/>
        </w:rPr>
      </w:pPr>
      <w:r>
        <w:rPr>
          <w:rFonts w:hint="eastAsia" w:ascii="Times New Roman" w:hAnsi="Times New Roman"/>
          <w:sz w:val="24"/>
          <w:szCs w:val="24"/>
        </w:rPr>
        <w:t>在项目进度被延滞或质量保证小组认为某阶段质量有问题时，提请项目经理、项目负责人等必要的相关人员举行质量会议。解决当前存在的和潜在的问题。质量保证是建立在文档的复审基础之上，因而文档版本的控制，特别是技术服务过程管理，直接影响相关模块质量保证的影响力和力度。质量保障小组的检测范围包括：需求分析人员是否正确的反映了用户的需求；改造安装</w:t>
      </w:r>
      <w:r>
        <w:rPr>
          <w:rFonts w:ascii="Times New Roman" w:hAnsi="Times New Roman"/>
          <w:sz w:val="24"/>
          <w:szCs w:val="24"/>
        </w:rPr>
        <w:t>执行</w:t>
      </w:r>
      <w:r>
        <w:rPr>
          <w:rFonts w:hint="eastAsia" w:ascii="Times New Roman" w:hAnsi="Times New Roman"/>
          <w:sz w:val="24"/>
          <w:szCs w:val="24"/>
        </w:rPr>
        <w:t>人员</w:t>
      </w:r>
      <w:r>
        <w:rPr>
          <w:rFonts w:ascii="Times New Roman" w:hAnsi="Times New Roman"/>
          <w:sz w:val="24"/>
          <w:szCs w:val="24"/>
        </w:rPr>
        <w:t>是否正确的实现了分析人员的</w:t>
      </w:r>
      <w:r>
        <w:rPr>
          <w:rFonts w:hint="eastAsia" w:ascii="Times New Roman" w:hAnsi="Times New Roman"/>
          <w:sz w:val="24"/>
          <w:szCs w:val="24"/>
        </w:rPr>
        <w:t>需求</w:t>
      </w:r>
      <w:r>
        <w:rPr>
          <w:rFonts w:ascii="Times New Roman" w:hAnsi="Times New Roman"/>
          <w:sz w:val="24"/>
          <w:szCs w:val="24"/>
        </w:rPr>
        <w:t>思想；</w:t>
      </w:r>
      <w:r>
        <w:rPr>
          <w:rFonts w:hint="eastAsia" w:ascii="Times New Roman" w:hAnsi="Times New Roman"/>
          <w:sz w:val="24"/>
          <w:szCs w:val="24"/>
        </w:rPr>
        <w:t>调试</w:t>
      </w:r>
      <w:r>
        <w:rPr>
          <w:rFonts w:ascii="Times New Roman" w:hAnsi="Times New Roman"/>
          <w:sz w:val="24"/>
          <w:szCs w:val="24"/>
        </w:rPr>
        <w:t>人员是否进行了较为彻底的和全面的测试；配置管理员是否对文档的规范化进行的比较彻底，版本控制是否有效</w:t>
      </w:r>
      <w:r>
        <w:rPr>
          <w:rFonts w:hint="eastAsia" w:ascii="Times New Roman" w:hAnsi="Times New Roman"/>
          <w:sz w:val="24"/>
          <w:szCs w:val="24"/>
        </w:rPr>
        <w:t>等</w:t>
      </w:r>
      <w:r>
        <w:rPr>
          <w:rFonts w:ascii="Times New Roman" w:hAnsi="Times New Roman"/>
          <w:sz w:val="24"/>
          <w:szCs w:val="24"/>
        </w:rPr>
        <w:t>。</w:t>
      </w:r>
    </w:p>
    <w:p>
      <w:pPr>
        <w:spacing w:line="400" w:lineRule="exact"/>
        <w:rPr>
          <w:rFonts w:hint="eastAsia" w:ascii="Times New Roman" w:hAnsi="Times New Roman"/>
          <w:sz w:val="24"/>
          <w:szCs w:val="24"/>
        </w:rPr>
      </w:pPr>
    </w:p>
    <w:p>
      <w:pPr>
        <w:spacing w:line="400" w:lineRule="exact"/>
        <w:rPr>
          <w:rFonts w:hint="eastAsia" w:ascii="Times New Roman" w:hAnsi="Times New Roman"/>
          <w:sz w:val="24"/>
          <w:szCs w:val="24"/>
        </w:rPr>
      </w:pPr>
    </w:p>
    <w:p>
      <w:pPr>
        <w:spacing w:line="400" w:lineRule="exact"/>
        <w:rPr>
          <w:sz w:val="24"/>
          <w:szCs w:val="24"/>
        </w:rPr>
      </w:pPr>
    </w:p>
    <w:p>
      <w:pPr>
        <w:pStyle w:val="3"/>
        <w:pageBreakBefore/>
        <w:rPr>
          <w:sz w:val="24"/>
          <w:szCs w:val="24"/>
        </w:rPr>
      </w:pPr>
      <w:r>
        <w:rPr>
          <w:rFonts w:hint="eastAsia"/>
          <w:sz w:val="24"/>
          <w:szCs w:val="24"/>
        </w:rPr>
        <w:t>6、项目进度、安全控制措施</w:t>
      </w:r>
    </w:p>
    <w:p>
      <w:pPr>
        <w:pStyle w:val="179"/>
        <w:numPr>
          <w:ilvl w:val="0"/>
          <w:numId w:val="15"/>
        </w:numPr>
        <w:spacing w:line="400" w:lineRule="exact"/>
        <w:ind w:firstLineChars="0"/>
        <w:rPr>
          <w:b/>
          <w:bCs/>
          <w:sz w:val="24"/>
          <w:szCs w:val="24"/>
        </w:rPr>
      </w:pPr>
      <w:r>
        <w:rPr>
          <w:rFonts w:hint="eastAsia"/>
          <w:b/>
          <w:bCs/>
          <w:sz w:val="24"/>
          <w:szCs w:val="24"/>
        </w:rPr>
        <w:t>项目整体进度：</w:t>
      </w:r>
    </w:p>
    <w:p>
      <w:pPr>
        <w:spacing w:line="400" w:lineRule="exact"/>
        <w:ind w:firstLine="480" w:firstLineChars="200"/>
        <w:rPr>
          <w:rFonts w:ascii="Times New Roman" w:hAnsi="Times New Roman"/>
          <w:sz w:val="24"/>
          <w:szCs w:val="24"/>
        </w:rPr>
      </w:pPr>
      <w:r>
        <w:rPr>
          <w:rFonts w:ascii="Times New Roman" w:hAnsi="Times New Roman"/>
          <w:sz w:val="24"/>
          <w:szCs w:val="24"/>
        </w:rPr>
        <w:t>合同签订后，我方开始对整个产品的现场施工设计、安装、联调，并进行产品出厂准备。从工程施工设计、测试机到货、检验测试、工程实施、整个工程验收，整体周期需要30天，其中大电流开关柜散热（除湿）装置控制智能化维修与升级方案并模拟现场条件自行组装试验样机于10个工作日内交付(完全响应招标文件要求日)，整体项目计划于2020年6月30日前完工(完全响应招标文件要求日)。</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0"/>
        <w:gridCol w:w="2412"/>
        <w:gridCol w:w="3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602" w:type="pct"/>
            <w:shd w:val="clear" w:color="auto" w:fill="D9D9D9"/>
            <w:vAlign w:val="center"/>
          </w:tcPr>
          <w:p>
            <w:pPr>
              <w:pStyle w:val="390"/>
              <w:ind w:firstLine="0" w:firstLineChars="0"/>
              <w:jc w:val="center"/>
              <w:rPr>
                <w:rFonts w:eastAsia="楷体" w:cs="Times New Roman"/>
                <w:b/>
                <w:szCs w:val="24"/>
              </w:rPr>
            </w:pPr>
            <w:r>
              <w:rPr>
                <w:rFonts w:eastAsia="楷体" w:cs="Times New Roman"/>
                <w:b/>
                <w:szCs w:val="24"/>
              </w:rPr>
              <w:t>项目阶段</w:t>
            </w:r>
          </w:p>
        </w:tc>
        <w:tc>
          <w:tcPr>
            <w:tcW w:w="1415" w:type="pct"/>
            <w:shd w:val="clear" w:color="auto" w:fill="D9D9D9"/>
            <w:vAlign w:val="center"/>
          </w:tcPr>
          <w:p>
            <w:pPr>
              <w:pStyle w:val="390"/>
              <w:ind w:firstLine="0" w:firstLineChars="0"/>
              <w:jc w:val="center"/>
              <w:rPr>
                <w:rFonts w:eastAsia="楷体" w:cs="Times New Roman"/>
                <w:b/>
                <w:szCs w:val="24"/>
              </w:rPr>
            </w:pPr>
            <w:r>
              <w:rPr>
                <w:rFonts w:eastAsia="楷体" w:cs="Times New Roman"/>
                <w:b/>
                <w:szCs w:val="24"/>
              </w:rPr>
              <w:t>起始时间</w:t>
            </w:r>
          </w:p>
        </w:tc>
        <w:tc>
          <w:tcPr>
            <w:tcW w:w="1983" w:type="pct"/>
            <w:shd w:val="clear" w:color="auto" w:fill="D9D9D9"/>
            <w:vAlign w:val="center"/>
          </w:tcPr>
          <w:p>
            <w:pPr>
              <w:pStyle w:val="390"/>
              <w:ind w:firstLine="0" w:firstLineChars="0"/>
              <w:jc w:val="center"/>
              <w:rPr>
                <w:rFonts w:eastAsia="楷体" w:cs="Times New Roman"/>
                <w:b/>
                <w:szCs w:val="24"/>
              </w:rPr>
            </w:pPr>
            <w:r>
              <w:rPr>
                <w:rFonts w:eastAsia="楷体" w:cs="Times New Roman"/>
                <w:b/>
                <w:szCs w:val="24"/>
              </w:rPr>
              <w:t>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602" w:type="pct"/>
            <w:shd w:val="clear" w:color="auto" w:fill="auto"/>
            <w:vAlign w:val="center"/>
          </w:tcPr>
          <w:p>
            <w:pPr>
              <w:pStyle w:val="390"/>
              <w:ind w:firstLine="0" w:firstLineChars="0"/>
              <w:jc w:val="center"/>
              <w:rPr>
                <w:rFonts w:hint="eastAsia" w:eastAsia="楷体" w:cs="Times New Roman"/>
                <w:szCs w:val="24"/>
              </w:rPr>
            </w:pPr>
            <w:r>
              <w:rPr>
                <w:rFonts w:eastAsia="楷体" w:cs="Times New Roman"/>
                <w:szCs w:val="24"/>
              </w:rPr>
              <w:t>工程施工设计</w:t>
            </w:r>
            <w:r>
              <w:rPr>
                <w:rFonts w:hint="eastAsia" w:eastAsia="楷体" w:cs="Times New Roman"/>
                <w:szCs w:val="24"/>
              </w:rPr>
              <w:t>与方案</w:t>
            </w:r>
          </w:p>
        </w:tc>
        <w:tc>
          <w:tcPr>
            <w:tcW w:w="1415" w:type="pct"/>
            <w:shd w:val="clear" w:color="auto" w:fill="auto"/>
            <w:vAlign w:val="center"/>
          </w:tcPr>
          <w:p>
            <w:pPr>
              <w:jc w:val="center"/>
              <w:rPr>
                <w:rFonts w:ascii="Times New Roman" w:hAnsi="Times New Roman"/>
                <w:sz w:val="24"/>
                <w:szCs w:val="24"/>
              </w:rPr>
            </w:pPr>
            <w:r>
              <w:rPr>
                <w:rFonts w:ascii="Times New Roman" w:hAnsi="Times New Roman"/>
                <w:sz w:val="24"/>
                <w:szCs w:val="24"/>
              </w:rPr>
              <w:t>T</w:t>
            </w:r>
          </w:p>
        </w:tc>
        <w:tc>
          <w:tcPr>
            <w:tcW w:w="1983" w:type="pct"/>
            <w:shd w:val="clear" w:color="auto" w:fill="auto"/>
            <w:vAlign w:val="center"/>
          </w:tcPr>
          <w:p>
            <w:pPr>
              <w:jc w:val="center"/>
              <w:rPr>
                <w:rFonts w:ascii="Times New Roman" w:hAnsi="Times New Roman"/>
                <w:sz w:val="24"/>
                <w:szCs w:val="24"/>
              </w:rPr>
            </w:pPr>
            <w:r>
              <w:rPr>
                <w:rFonts w:ascii="Times New Roman" w:hAnsi="Times New Roman"/>
                <w:sz w:val="24"/>
                <w:szCs w:val="24"/>
              </w:rPr>
              <w:t>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602"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测试</w:t>
            </w:r>
            <w:r>
              <w:rPr>
                <w:rFonts w:hint="eastAsia" w:eastAsia="楷体" w:cs="Times New Roman"/>
                <w:szCs w:val="24"/>
              </w:rPr>
              <w:t>样机装配</w:t>
            </w:r>
            <w:r>
              <w:rPr>
                <w:rFonts w:eastAsia="楷体" w:cs="Times New Roman"/>
                <w:szCs w:val="24"/>
              </w:rPr>
              <w:t>到货</w:t>
            </w:r>
          </w:p>
        </w:tc>
        <w:tc>
          <w:tcPr>
            <w:tcW w:w="1415"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T+3</w:t>
            </w:r>
          </w:p>
        </w:tc>
        <w:tc>
          <w:tcPr>
            <w:tcW w:w="1983"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602"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测试</w:t>
            </w:r>
            <w:r>
              <w:rPr>
                <w:rFonts w:hint="eastAsia" w:eastAsia="楷体" w:cs="Times New Roman"/>
                <w:szCs w:val="24"/>
              </w:rPr>
              <w:t>样机自行组装试验</w:t>
            </w:r>
          </w:p>
        </w:tc>
        <w:tc>
          <w:tcPr>
            <w:tcW w:w="1415"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T+7</w:t>
            </w:r>
          </w:p>
        </w:tc>
        <w:tc>
          <w:tcPr>
            <w:tcW w:w="1983"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T+</w:t>
            </w:r>
            <w:r>
              <w:rPr>
                <w:rFonts w:hint="eastAsia" w:eastAsia="楷体" w:cs="Times New Roman"/>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602"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工程实施</w:t>
            </w:r>
          </w:p>
        </w:tc>
        <w:tc>
          <w:tcPr>
            <w:tcW w:w="1415"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T+12</w:t>
            </w:r>
          </w:p>
        </w:tc>
        <w:tc>
          <w:tcPr>
            <w:tcW w:w="1983"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602" w:type="pct"/>
            <w:shd w:val="clear" w:color="auto" w:fill="auto"/>
            <w:vAlign w:val="center"/>
          </w:tcPr>
          <w:p>
            <w:pPr>
              <w:pStyle w:val="390"/>
              <w:ind w:firstLine="0" w:firstLineChars="0"/>
              <w:jc w:val="center"/>
              <w:rPr>
                <w:rFonts w:eastAsia="楷体" w:cs="Times New Roman"/>
                <w:szCs w:val="24"/>
              </w:rPr>
            </w:pPr>
            <w:r>
              <w:rPr>
                <w:rFonts w:hint="eastAsia" w:eastAsia="楷体" w:cs="Times New Roman"/>
                <w:szCs w:val="24"/>
              </w:rPr>
              <w:t>技术改造全面</w:t>
            </w:r>
            <w:r>
              <w:rPr>
                <w:rFonts w:eastAsia="楷体" w:cs="Times New Roman"/>
                <w:szCs w:val="24"/>
              </w:rPr>
              <w:t>测试</w:t>
            </w:r>
          </w:p>
        </w:tc>
        <w:tc>
          <w:tcPr>
            <w:tcW w:w="1415"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T+22</w:t>
            </w:r>
          </w:p>
        </w:tc>
        <w:tc>
          <w:tcPr>
            <w:tcW w:w="1983"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602"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工程验收</w:t>
            </w:r>
          </w:p>
        </w:tc>
        <w:tc>
          <w:tcPr>
            <w:tcW w:w="1415"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T+27</w:t>
            </w:r>
          </w:p>
        </w:tc>
        <w:tc>
          <w:tcPr>
            <w:tcW w:w="1983" w:type="pct"/>
            <w:shd w:val="clear" w:color="auto" w:fill="auto"/>
            <w:vAlign w:val="center"/>
          </w:tcPr>
          <w:p>
            <w:pPr>
              <w:pStyle w:val="390"/>
              <w:ind w:firstLine="0" w:firstLineChars="0"/>
              <w:jc w:val="center"/>
              <w:rPr>
                <w:rFonts w:eastAsia="楷体" w:cs="Times New Roman"/>
                <w:szCs w:val="24"/>
              </w:rPr>
            </w:pPr>
            <w:r>
              <w:rPr>
                <w:rFonts w:eastAsia="楷体" w:cs="Times New Roman"/>
                <w:szCs w:val="24"/>
              </w:rPr>
              <w:t>T+28</w:t>
            </w:r>
          </w:p>
        </w:tc>
      </w:tr>
    </w:tbl>
    <w:p>
      <w:pPr>
        <w:spacing w:line="400" w:lineRule="exact"/>
        <w:rPr>
          <w:rFonts w:hint="eastAsia"/>
          <w:sz w:val="24"/>
          <w:szCs w:val="24"/>
        </w:rPr>
      </w:pPr>
    </w:p>
    <w:p>
      <w:pPr>
        <w:pStyle w:val="179"/>
        <w:numPr>
          <w:ilvl w:val="0"/>
          <w:numId w:val="15"/>
        </w:numPr>
        <w:spacing w:line="400" w:lineRule="exact"/>
        <w:ind w:firstLineChars="0"/>
        <w:rPr>
          <w:b/>
          <w:bCs/>
          <w:sz w:val="24"/>
          <w:szCs w:val="24"/>
        </w:rPr>
      </w:pPr>
      <w:r>
        <w:rPr>
          <w:rFonts w:hint="eastAsia"/>
          <w:b/>
          <w:bCs/>
          <w:sz w:val="24"/>
          <w:szCs w:val="24"/>
        </w:rPr>
        <w:t>项目前期设计：</w:t>
      </w:r>
    </w:p>
    <w:p>
      <w:pPr>
        <w:spacing w:line="400" w:lineRule="exact"/>
        <w:ind w:firstLine="480" w:firstLineChars="200"/>
        <w:rPr>
          <w:sz w:val="24"/>
          <w:szCs w:val="24"/>
        </w:rPr>
      </w:pPr>
      <w:r>
        <w:rPr>
          <w:rFonts w:hint="eastAsia"/>
          <w:sz w:val="24"/>
          <w:szCs w:val="24"/>
        </w:rPr>
        <w:t>主动联系甲方负责人开展项目前期交流，根据甲方描述的实际情况，考虑甲方所提8座变电站现场使用的不同高压开关柜型号、散热装置型号对实际运行的智能化要求、运行注意事项等内容进行详细讨论，明确现场高压开关柜散热装置的布置、传感器的分布和二次线路的走线等内容，据此制定符合每个变电站的高压开关柜散热装置智能化升级服务方案、现场服务人员管控措施和服务质量保证措施等。</w:t>
      </w:r>
    </w:p>
    <w:p>
      <w:pPr>
        <w:pStyle w:val="179"/>
        <w:numPr>
          <w:ilvl w:val="0"/>
          <w:numId w:val="15"/>
        </w:numPr>
        <w:spacing w:line="400" w:lineRule="exact"/>
        <w:ind w:firstLineChars="0"/>
        <w:rPr>
          <w:sz w:val="24"/>
          <w:szCs w:val="24"/>
        </w:rPr>
      </w:pPr>
      <w:r>
        <w:rPr>
          <w:rFonts w:hint="eastAsia"/>
          <w:b/>
          <w:bCs/>
          <w:sz w:val="24"/>
          <w:szCs w:val="24"/>
        </w:rPr>
        <w:t>施工方案确认</w:t>
      </w:r>
    </w:p>
    <w:p>
      <w:pPr>
        <w:spacing w:line="400" w:lineRule="exact"/>
        <w:ind w:firstLine="480" w:firstLineChars="200"/>
        <w:rPr>
          <w:b/>
          <w:bCs/>
          <w:sz w:val="24"/>
          <w:szCs w:val="24"/>
        </w:rPr>
      </w:pPr>
      <w:r>
        <w:rPr>
          <w:rFonts w:hint="eastAsia"/>
          <w:sz w:val="24"/>
          <w:szCs w:val="24"/>
        </w:rPr>
        <w:t>完成智能化升级服务方案制定后，学校项目负责人将会同甲方项目负责人制定详细现场查勘表，对每个变电站现场进行实际查勘，并与已制定方案进行逐一核实。现场查勘结束后，学校组织项目设计人员对前期设计方案进行再次修改并形成最终的施工设计方案。</w:t>
      </w:r>
    </w:p>
    <w:p>
      <w:pPr>
        <w:spacing w:line="400" w:lineRule="exact"/>
        <w:ind w:firstLine="480" w:firstLineChars="200"/>
        <w:rPr>
          <w:sz w:val="24"/>
          <w:szCs w:val="24"/>
        </w:rPr>
      </w:pPr>
      <w:r>
        <w:rPr>
          <w:rFonts w:hint="eastAsia"/>
          <w:sz w:val="24"/>
          <w:szCs w:val="24"/>
        </w:rPr>
        <w:t>根据应答人制定的最终智能化升级方案，由甲方负责人按照甲方安全规程、高压开关柜检修导则等规程制定高压开关柜散热装置智能化升级改造服务标准化作业书，明确服务现场的服务内容、工作范围、安全措施和注意事项等，严格规范现场作业的工艺工序。标准化作业书制作完成后，应答人项目负责人会同甲方负责人对现场服务标准化作业流程进行深入交流和仔细确认，同时将标准化作业书所有内容传达应答人项目组全体成员。</w:t>
      </w:r>
    </w:p>
    <w:p>
      <w:pPr>
        <w:pStyle w:val="179"/>
        <w:numPr>
          <w:ilvl w:val="0"/>
          <w:numId w:val="15"/>
        </w:numPr>
        <w:spacing w:line="400" w:lineRule="exact"/>
        <w:ind w:firstLineChars="0"/>
        <w:rPr>
          <w:sz w:val="24"/>
          <w:szCs w:val="24"/>
        </w:rPr>
      </w:pPr>
      <w:r>
        <w:rPr>
          <w:rFonts w:hint="eastAsia"/>
          <w:b/>
          <w:bCs/>
          <w:sz w:val="24"/>
          <w:szCs w:val="24"/>
        </w:rPr>
        <w:t>安全施工管理措施</w:t>
      </w:r>
    </w:p>
    <w:p>
      <w:pPr>
        <w:spacing w:line="400" w:lineRule="exact"/>
        <w:ind w:firstLine="480" w:firstLineChars="200"/>
        <w:rPr>
          <w:sz w:val="24"/>
          <w:szCs w:val="24"/>
        </w:rPr>
      </w:pPr>
      <w:r>
        <w:rPr>
          <w:rFonts w:hint="eastAsia"/>
          <w:bCs/>
          <w:sz w:val="24"/>
          <w:szCs w:val="24"/>
        </w:rPr>
        <w:t>首先，</w:t>
      </w:r>
      <w:r>
        <w:rPr>
          <w:rFonts w:hint="eastAsia"/>
          <w:sz w:val="24"/>
          <w:szCs w:val="24"/>
        </w:rPr>
        <w:t>应答人项目负责人会同甲方负责人，对项目组全体人员进行电网公司变电安全规程与十八项反事故措施等规章制度、现场作业风险点辨识与预防措施的学习，并提前与甲方取得联系进行安全规程考试。</w:t>
      </w:r>
      <w:r>
        <w:rPr>
          <w:rFonts w:hint="eastAsia"/>
          <w:bCs/>
          <w:sz w:val="24"/>
          <w:szCs w:val="24"/>
        </w:rPr>
        <w:t>然后，</w:t>
      </w:r>
      <w:r>
        <w:rPr>
          <w:rFonts w:hint="eastAsia"/>
          <w:sz w:val="24"/>
          <w:szCs w:val="24"/>
        </w:rPr>
        <w:t>根据现场升级服务要求，准备基础施工材料、安全工器具、电气试验设备和个人防护用品等，并检查安全工器具、电气试验设备的是否在试验有效期内，应答人项目组服务人员需旅行甲方制定</w:t>
      </w:r>
      <w:r>
        <w:rPr>
          <w:rFonts w:hint="eastAsia"/>
          <w:color w:val="000000" w:themeColor="text1"/>
          <w:sz w:val="24"/>
          <w:szCs w:val="24"/>
          <w14:textFill>
            <w14:solidFill>
              <w14:schemeClr w14:val="tx1"/>
            </w14:solidFill>
          </w14:textFill>
        </w:rPr>
        <w:t>的疫情防控手续。最</w:t>
      </w:r>
      <w:r>
        <w:rPr>
          <w:rFonts w:hint="eastAsia"/>
          <w:sz w:val="24"/>
          <w:szCs w:val="24"/>
        </w:rPr>
        <w:t>后，仔细核实应答人项目组全体成员的精神状态，确保抵达现场的服务人员一切正常。</w:t>
      </w:r>
    </w:p>
    <w:p>
      <w:pPr>
        <w:pStyle w:val="179"/>
        <w:numPr>
          <w:ilvl w:val="0"/>
          <w:numId w:val="15"/>
        </w:numPr>
        <w:spacing w:line="400" w:lineRule="exact"/>
        <w:ind w:firstLineChars="0"/>
        <w:rPr>
          <w:sz w:val="24"/>
          <w:szCs w:val="24"/>
        </w:rPr>
      </w:pPr>
      <w:r>
        <w:rPr>
          <w:rFonts w:hint="eastAsia"/>
          <w:b/>
          <w:bCs/>
          <w:sz w:val="24"/>
          <w:szCs w:val="24"/>
        </w:rPr>
        <w:t>现场服务</w:t>
      </w:r>
    </w:p>
    <w:p>
      <w:pPr>
        <w:spacing w:line="400" w:lineRule="exact"/>
        <w:ind w:firstLine="480" w:firstLineChars="200"/>
        <w:rPr>
          <w:sz w:val="24"/>
          <w:szCs w:val="24"/>
        </w:rPr>
      </w:pPr>
      <w:r>
        <w:rPr>
          <w:rFonts w:hint="eastAsia"/>
          <w:sz w:val="24"/>
          <w:szCs w:val="24"/>
        </w:rPr>
        <w:t>现场施工时，应答人项目组人员将严格按照双方确认过的智能化升级方案进行服务与施工，并在规定范围内工作，严格执行甲方现场管控措施。服务工艺工序按照如下流程进行：</w:t>
      </w:r>
    </w:p>
    <w:p>
      <w:pPr>
        <w:spacing w:line="400" w:lineRule="exact"/>
        <w:ind w:firstLine="480" w:firstLineChars="200"/>
        <w:rPr>
          <w:sz w:val="24"/>
          <w:szCs w:val="24"/>
        </w:rPr>
      </w:pPr>
      <w:r>
        <w:rPr>
          <w:rFonts w:hint="eastAsia"/>
          <w:sz w:val="24"/>
          <w:szCs w:val="24"/>
        </w:rPr>
        <w:t>（</w:t>
      </w:r>
      <w:r>
        <w:rPr>
          <w:sz w:val="24"/>
          <w:szCs w:val="24"/>
        </w:rPr>
        <w:t>1）断开所有电源，</w:t>
      </w:r>
      <w:r>
        <w:rPr>
          <w:rFonts w:hint="eastAsia"/>
          <w:sz w:val="24"/>
          <w:szCs w:val="24"/>
        </w:rPr>
        <w:t>高压部分使用验电笔反复充分验电，低压部分使用</w:t>
      </w:r>
      <w:r>
        <w:rPr>
          <w:sz w:val="24"/>
          <w:szCs w:val="24"/>
        </w:rPr>
        <w:t>万用表检查所有电源电压</w:t>
      </w:r>
      <w:r>
        <w:rPr>
          <w:rFonts w:hint="eastAsia"/>
          <w:sz w:val="24"/>
          <w:szCs w:val="24"/>
        </w:rPr>
        <w:t>是否</w:t>
      </w:r>
      <w:r>
        <w:rPr>
          <w:sz w:val="24"/>
          <w:szCs w:val="24"/>
        </w:rPr>
        <w:t>为零；</w:t>
      </w:r>
    </w:p>
    <w:p>
      <w:pPr>
        <w:spacing w:line="400" w:lineRule="exact"/>
        <w:ind w:firstLine="480" w:firstLineChars="200"/>
        <w:rPr>
          <w:sz w:val="24"/>
          <w:szCs w:val="24"/>
        </w:rPr>
      </w:pPr>
      <w:r>
        <w:rPr>
          <w:rFonts w:hint="eastAsia"/>
          <w:sz w:val="24"/>
          <w:szCs w:val="24"/>
        </w:rPr>
        <w:t>（</w:t>
      </w:r>
      <w:r>
        <w:rPr>
          <w:sz w:val="24"/>
          <w:szCs w:val="24"/>
        </w:rPr>
        <w:t>2）将数据采集终端和可视化智能装置安装到高压开关柜导轨上；</w:t>
      </w:r>
    </w:p>
    <w:p>
      <w:pPr>
        <w:spacing w:line="400" w:lineRule="exact"/>
        <w:ind w:firstLine="480" w:firstLineChars="200"/>
        <w:rPr>
          <w:sz w:val="24"/>
          <w:szCs w:val="24"/>
        </w:rPr>
      </w:pPr>
      <w:r>
        <w:rPr>
          <w:rFonts w:hint="eastAsia"/>
          <w:sz w:val="24"/>
          <w:szCs w:val="24"/>
        </w:rPr>
        <w:t>（</w:t>
      </w:r>
      <w:r>
        <w:rPr>
          <w:sz w:val="24"/>
          <w:szCs w:val="24"/>
        </w:rPr>
        <w:t>3）将多路散热装置的电源线分别接至数据采集终端；</w:t>
      </w:r>
    </w:p>
    <w:p>
      <w:pPr>
        <w:spacing w:line="400" w:lineRule="exact"/>
        <w:ind w:firstLine="480" w:firstLineChars="200"/>
        <w:rPr>
          <w:sz w:val="24"/>
          <w:szCs w:val="24"/>
        </w:rPr>
      </w:pPr>
      <w:r>
        <w:rPr>
          <w:rFonts w:hint="eastAsia"/>
          <w:sz w:val="24"/>
          <w:szCs w:val="24"/>
        </w:rPr>
        <w:t>（</w:t>
      </w:r>
      <w:r>
        <w:rPr>
          <w:sz w:val="24"/>
          <w:szCs w:val="24"/>
        </w:rPr>
        <w:t>4）将温湿度传感器的数据线接至数据采集终端；</w:t>
      </w:r>
    </w:p>
    <w:p>
      <w:pPr>
        <w:spacing w:line="400" w:lineRule="exact"/>
        <w:ind w:firstLine="480" w:firstLineChars="200"/>
        <w:rPr>
          <w:sz w:val="24"/>
          <w:szCs w:val="24"/>
        </w:rPr>
      </w:pPr>
      <w:r>
        <w:rPr>
          <w:rFonts w:hint="eastAsia"/>
          <w:sz w:val="24"/>
          <w:szCs w:val="24"/>
        </w:rPr>
        <w:t>（</w:t>
      </w:r>
      <w:r>
        <w:rPr>
          <w:sz w:val="24"/>
          <w:szCs w:val="24"/>
        </w:rPr>
        <w:t>5）将可视化智能装置的I/O线接至数据采集终端；</w:t>
      </w:r>
    </w:p>
    <w:p>
      <w:pPr>
        <w:spacing w:line="400" w:lineRule="exact"/>
        <w:ind w:firstLine="480" w:firstLineChars="200"/>
        <w:rPr>
          <w:sz w:val="24"/>
          <w:szCs w:val="24"/>
        </w:rPr>
      </w:pPr>
      <w:r>
        <w:rPr>
          <w:rFonts w:hint="eastAsia"/>
          <w:sz w:val="24"/>
          <w:szCs w:val="24"/>
        </w:rPr>
        <w:t>（</w:t>
      </w:r>
      <w:r>
        <w:rPr>
          <w:sz w:val="24"/>
          <w:szCs w:val="24"/>
        </w:rPr>
        <w:t>6）将电流互感器二次电缆线接至数据采集终端；</w:t>
      </w:r>
    </w:p>
    <w:p>
      <w:pPr>
        <w:spacing w:line="400" w:lineRule="exact"/>
        <w:ind w:firstLine="480" w:firstLineChars="200"/>
        <w:rPr>
          <w:rFonts w:hint="eastAsia"/>
          <w:sz w:val="24"/>
          <w:szCs w:val="24"/>
        </w:rPr>
      </w:pPr>
      <w:r>
        <w:rPr>
          <w:rFonts w:hint="eastAsia"/>
          <w:sz w:val="24"/>
          <w:szCs w:val="24"/>
        </w:rPr>
        <w:t>（</w:t>
      </w:r>
      <w:r>
        <w:rPr>
          <w:sz w:val="24"/>
          <w:szCs w:val="24"/>
        </w:rPr>
        <w:t>7）将交流电源线接至数据采集终端</w:t>
      </w:r>
      <w:r>
        <w:rPr>
          <w:rFonts w:hint="eastAsia"/>
          <w:sz w:val="24"/>
          <w:szCs w:val="24"/>
        </w:rPr>
        <w:t>;</w:t>
      </w:r>
    </w:p>
    <w:p>
      <w:pPr>
        <w:spacing w:line="400" w:lineRule="exact"/>
        <w:ind w:firstLine="480" w:firstLineChars="200"/>
        <w:rPr>
          <w:rFonts w:hint="eastAsia"/>
          <w:sz w:val="24"/>
          <w:szCs w:val="24"/>
        </w:rPr>
      </w:pPr>
      <w:r>
        <w:rPr>
          <w:rFonts w:hint="eastAsia"/>
          <w:sz w:val="24"/>
          <w:szCs w:val="24"/>
        </w:rPr>
        <w:t>（</w:t>
      </w:r>
      <w:r>
        <w:rPr>
          <w:sz w:val="24"/>
          <w:szCs w:val="24"/>
        </w:rPr>
        <w:t>8）</w:t>
      </w:r>
      <w:r>
        <w:rPr>
          <w:rFonts w:hint="eastAsia"/>
          <w:sz w:val="24"/>
          <w:szCs w:val="24"/>
        </w:rPr>
        <w:t>在技术改造过程中要充分结合实际情况选择方案，如下表：</w:t>
      </w:r>
    </w:p>
    <w:tbl>
      <w:tblPr>
        <w:tblStyle w:val="50"/>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992"/>
        <w:gridCol w:w="992"/>
        <w:gridCol w:w="1276"/>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21" w:type="dxa"/>
            <w:shd w:val="clear" w:color="auto" w:fill="F1F1F1" w:themeFill="background1" w:themeFillShade="F2"/>
          </w:tcPr>
          <w:p>
            <w:pPr>
              <w:rPr>
                <w:rFonts w:asciiTheme="minorEastAsia" w:hAnsiTheme="minorEastAsia" w:eastAsiaTheme="minorEastAsia"/>
                <w:b/>
                <w:bCs/>
                <w:kern w:val="0"/>
                <w:sz w:val="20"/>
              </w:rPr>
            </w:pPr>
            <w:r>
              <w:rPr>
                <w:rFonts w:hint="eastAsia" w:asciiTheme="minorEastAsia" w:hAnsiTheme="minorEastAsia" w:eastAsiaTheme="minorEastAsia"/>
                <w:b/>
                <w:bCs/>
                <w:kern w:val="0"/>
                <w:sz w:val="20"/>
              </w:rPr>
              <w:t>序号</w:t>
            </w:r>
          </w:p>
        </w:tc>
        <w:tc>
          <w:tcPr>
            <w:tcW w:w="992" w:type="dxa"/>
            <w:shd w:val="clear" w:color="auto" w:fill="F1F1F1" w:themeFill="background1" w:themeFillShade="F2"/>
            <w:vAlign w:val="center"/>
          </w:tcPr>
          <w:p>
            <w:pPr>
              <w:jc w:val="center"/>
              <w:rPr>
                <w:rFonts w:asciiTheme="minorEastAsia" w:hAnsiTheme="minorEastAsia" w:eastAsiaTheme="minorEastAsia"/>
                <w:b/>
                <w:bCs/>
                <w:kern w:val="0"/>
                <w:sz w:val="20"/>
              </w:rPr>
            </w:pPr>
            <w:r>
              <w:rPr>
                <w:rFonts w:hint="eastAsia" w:asciiTheme="minorEastAsia" w:hAnsiTheme="minorEastAsia" w:eastAsiaTheme="minorEastAsia"/>
                <w:b/>
                <w:bCs/>
                <w:kern w:val="0"/>
                <w:sz w:val="20"/>
                <w:szCs w:val="24"/>
              </w:rPr>
              <w:t>过流继电器</w:t>
            </w:r>
          </w:p>
        </w:tc>
        <w:tc>
          <w:tcPr>
            <w:tcW w:w="992" w:type="dxa"/>
            <w:shd w:val="clear" w:color="auto" w:fill="F1F1F1" w:themeFill="background1" w:themeFillShade="F2"/>
            <w:vAlign w:val="center"/>
          </w:tcPr>
          <w:p>
            <w:pPr>
              <w:jc w:val="center"/>
              <w:rPr>
                <w:rFonts w:asciiTheme="minorEastAsia" w:hAnsiTheme="minorEastAsia" w:eastAsiaTheme="minorEastAsia"/>
                <w:b/>
                <w:bCs/>
                <w:kern w:val="0"/>
                <w:sz w:val="20"/>
              </w:rPr>
            </w:pPr>
            <w:r>
              <w:rPr>
                <w:rFonts w:hint="eastAsia" w:asciiTheme="minorEastAsia" w:hAnsiTheme="minorEastAsia" w:eastAsiaTheme="minorEastAsia"/>
                <w:b/>
                <w:bCs/>
                <w:kern w:val="0"/>
                <w:sz w:val="20"/>
                <w:szCs w:val="24"/>
              </w:rPr>
              <w:t>温湿度控制器</w:t>
            </w:r>
          </w:p>
        </w:tc>
        <w:tc>
          <w:tcPr>
            <w:tcW w:w="1276" w:type="dxa"/>
            <w:shd w:val="clear" w:color="auto" w:fill="F1F1F1" w:themeFill="background1" w:themeFillShade="F2"/>
            <w:vAlign w:val="center"/>
          </w:tcPr>
          <w:p>
            <w:pPr>
              <w:jc w:val="center"/>
              <w:rPr>
                <w:rFonts w:asciiTheme="minorEastAsia" w:hAnsiTheme="minorEastAsia" w:eastAsiaTheme="minorEastAsia"/>
                <w:b/>
                <w:bCs/>
                <w:kern w:val="0"/>
                <w:sz w:val="20"/>
              </w:rPr>
            </w:pPr>
            <w:r>
              <w:rPr>
                <w:rFonts w:hint="eastAsia" w:asciiTheme="minorEastAsia" w:hAnsiTheme="minorEastAsia" w:eastAsiaTheme="minorEastAsia"/>
                <w:b/>
                <w:bCs/>
                <w:kern w:val="0"/>
                <w:sz w:val="20"/>
                <w:szCs w:val="24"/>
              </w:rPr>
              <w:t>散热（除湿）装置</w:t>
            </w:r>
          </w:p>
        </w:tc>
        <w:tc>
          <w:tcPr>
            <w:tcW w:w="4678" w:type="dxa"/>
            <w:shd w:val="clear" w:color="auto" w:fill="F1F1F1" w:themeFill="background1" w:themeFillShade="F2"/>
            <w:vAlign w:val="center"/>
          </w:tcPr>
          <w:p>
            <w:pPr>
              <w:jc w:val="center"/>
              <w:rPr>
                <w:rFonts w:asciiTheme="minorEastAsia" w:hAnsiTheme="minorEastAsia" w:eastAsiaTheme="minorEastAsia"/>
                <w:b/>
                <w:bCs/>
                <w:kern w:val="0"/>
                <w:sz w:val="20"/>
                <w:szCs w:val="24"/>
              </w:rPr>
            </w:pPr>
            <w:r>
              <w:rPr>
                <w:rFonts w:hint="eastAsia" w:asciiTheme="minorEastAsia" w:hAnsiTheme="minorEastAsia" w:eastAsiaTheme="minorEastAsia"/>
                <w:b/>
                <w:bCs/>
                <w:kern w:val="0"/>
                <w:sz w:val="20"/>
                <w:szCs w:val="24"/>
              </w:rPr>
              <w:t>技术升级改造及维护实施手段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rPr>
                <w:kern w:val="0"/>
                <w:sz w:val="21"/>
                <w:szCs w:val="21"/>
              </w:rPr>
            </w:pPr>
            <w:r>
              <w:rPr>
                <w:rFonts w:hint="eastAsia"/>
                <w:kern w:val="0"/>
                <w:sz w:val="21"/>
                <w:szCs w:val="21"/>
              </w:rPr>
              <w:t>1</w:t>
            </w:r>
          </w:p>
        </w:tc>
        <w:tc>
          <w:tcPr>
            <w:tcW w:w="992" w:type="dxa"/>
            <w:vAlign w:val="center"/>
          </w:tcPr>
          <w:p>
            <w:pPr>
              <w:jc w:val="center"/>
              <w:rPr>
                <w:kern w:val="0"/>
                <w:sz w:val="21"/>
                <w:szCs w:val="21"/>
              </w:rPr>
            </w:pPr>
            <w:r>
              <w:rPr>
                <w:rFonts w:hint="eastAsia"/>
                <w:kern w:val="0"/>
                <w:sz w:val="21"/>
                <w:szCs w:val="21"/>
              </w:rPr>
              <w:t>无</w:t>
            </w:r>
          </w:p>
        </w:tc>
        <w:tc>
          <w:tcPr>
            <w:tcW w:w="992" w:type="dxa"/>
            <w:vAlign w:val="center"/>
          </w:tcPr>
          <w:p>
            <w:pPr>
              <w:jc w:val="center"/>
              <w:rPr>
                <w:rFonts w:ascii="楷体" w:hAnsi="楷体"/>
                <w:kern w:val="0"/>
                <w:sz w:val="21"/>
                <w:szCs w:val="21"/>
              </w:rPr>
            </w:pPr>
            <w:r>
              <w:rPr>
                <w:rFonts w:hint="eastAsia" w:ascii="楷体" w:hAnsi="楷体"/>
                <w:kern w:val="0"/>
                <w:sz w:val="21"/>
                <w:szCs w:val="21"/>
              </w:rPr>
              <w:t>无</w:t>
            </w:r>
          </w:p>
        </w:tc>
        <w:tc>
          <w:tcPr>
            <w:tcW w:w="1276" w:type="dxa"/>
            <w:vAlign w:val="center"/>
          </w:tcPr>
          <w:p>
            <w:pPr>
              <w:jc w:val="center"/>
              <w:rPr>
                <w:rFonts w:ascii="楷体" w:hAnsi="楷体"/>
                <w:kern w:val="0"/>
                <w:sz w:val="21"/>
                <w:szCs w:val="21"/>
              </w:rPr>
            </w:pPr>
            <w:r>
              <w:rPr>
                <w:rFonts w:hint="eastAsia" w:ascii="楷体" w:hAnsi="楷体"/>
                <w:kern w:val="0"/>
                <w:sz w:val="21"/>
                <w:szCs w:val="21"/>
              </w:rPr>
              <w:t>无</w:t>
            </w:r>
          </w:p>
        </w:tc>
        <w:tc>
          <w:tcPr>
            <w:tcW w:w="4678" w:type="dxa"/>
          </w:tcPr>
          <w:p>
            <w:pPr>
              <w:jc w:val="left"/>
              <w:rPr>
                <w:rFonts w:ascii="楷体" w:hAnsi="楷体"/>
                <w:kern w:val="0"/>
                <w:sz w:val="21"/>
                <w:szCs w:val="21"/>
              </w:rPr>
            </w:pPr>
            <w:r>
              <w:rPr>
                <w:rFonts w:hint="eastAsia" w:ascii="楷体" w:hAnsi="楷体"/>
                <w:kern w:val="0"/>
                <w:sz w:val="21"/>
                <w:szCs w:val="21"/>
              </w:rPr>
              <w:t>对高压开关柜进行停电升级改造，加装散热（除湿）装置、温湿度传感器、音频传感器和散热（除湿）装置智能控制器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rPr>
                <w:kern w:val="0"/>
                <w:sz w:val="21"/>
                <w:szCs w:val="21"/>
              </w:rPr>
            </w:pPr>
            <w:r>
              <w:rPr>
                <w:rFonts w:hint="eastAsia"/>
                <w:kern w:val="0"/>
                <w:sz w:val="21"/>
                <w:szCs w:val="21"/>
              </w:rPr>
              <w:t>2</w:t>
            </w:r>
          </w:p>
        </w:tc>
        <w:tc>
          <w:tcPr>
            <w:tcW w:w="992" w:type="dxa"/>
            <w:vAlign w:val="center"/>
          </w:tcPr>
          <w:p>
            <w:pPr>
              <w:jc w:val="center"/>
              <w:rPr>
                <w:kern w:val="0"/>
                <w:sz w:val="21"/>
                <w:szCs w:val="21"/>
              </w:rPr>
            </w:pPr>
            <w:r>
              <w:rPr>
                <w:rFonts w:hint="eastAsia"/>
                <w:kern w:val="0"/>
                <w:sz w:val="21"/>
                <w:szCs w:val="21"/>
              </w:rPr>
              <w:t>无</w:t>
            </w:r>
          </w:p>
        </w:tc>
        <w:tc>
          <w:tcPr>
            <w:tcW w:w="992" w:type="dxa"/>
            <w:vAlign w:val="center"/>
          </w:tcPr>
          <w:p>
            <w:pPr>
              <w:jc w:val="center"/>
              <w:rPr>
                <w:rFonts w:ascii="楷体" w:hAnsi="楷体"/>
                <w:kern w:val="0"/>
                <w:sz w:val="21"/>
                <w:szCs w:val="21"/>
              </w:rPr>
            </w:pPr>
            <w:r>
              <w:rPr>
                <w:rFonts w:hint="eastAsia" w:ascii="楷体" w:hAnsi="楷体"/>
                <w:kern w:val="0"/>
                <w:sz w:val="21"/>
                <w:szCs w:val="21"/>
              </w:rPr>
              <w:t>有</w:t>
            </w:r>
          </w:p>
        </w:tc>
        <w:tc>
          <w:tcPr>
            <w:tcW w:w="1276" w:type="dxa"/>
            <w:vAlign w:val="center"/>
          </w:tcPr>
          <w:p>
            <w:pPr>
              <w:jc w:val="center"/>
              <w:rPr>
                <w:rFonts w:ascii="楷体" w:hAnsi="楷体"/>
                <w:kern w:val="0"/>
                <w:sz w:val="21"/>
                <w:szCs w:val="21"/>
              </w:rPr>
            </w:pPr>
            <w:r>
              <w:rPr>
                <w:rFonts w:hint="eastAsia" w:ascii="楷体" w:hAnsi="楷体"/>
                <w:kern w:val="0"/>
                <w:sz w:val="21"/>
                <w:szCs w:val="21"/>
              </w:rPr>
              <w:t>有</w:t>
            </w:r>
          </w:p>
        </w:tc>
        <w:tc>
          <w:tcPr>
            <w:tcW w:w="4678" w:type="dxa"/>
          </w:tcPr>
          <w:p>
            <w:pPr>
              <w:jc w:val="left"/>
              <w:rPr>
                <w:rFonts w:ascii="楷体" w:hAnsi="楷体"/>
                <w:kern w:val="0"/>
                <w:sz w:val="21"/>
                <w:szCs w:val="21"/>
              </w:rPr>
            </w:pPr>
            <w:r>
              <w:rPr>
                <w:rFonts w:hint="eastAsia" w:ascii="楷体" w:hAnsi="楷体"/>
                <w:kern w:val="0"/>
                <w:sz w:val="21"/>
                <w:szCs w:val="21"/>
              </w:rPr>
              <w:t>对高压开关柜进行停电升级改造，拆除现有温湿度控制器，加装温湿度传感器、音频传感器和散热（除湿）装置智能控制器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rPr>
                <w:kern w:val="0"/>
                <w:sz w:val="21"/>
                <w:szCs w:val="21"/>
              </w:rPr>
            </w:pPr>
            <w:r>
              <w:rPr>
                <w:rFonts w:hint="eastAsia"/>
                <w:kern w:val="0"/>
                <w:sz w:val="21"/>
                <w:szCs w:val="21"/>
              </w:rPr>
              <w:t>3</w:t>
            </w:r>
          </w:p>
        </w:tc>
        <w:tc>
          <w:tcPr>
            <w:tcW w:w="992" w:type="dxa"/>
            <w:vAlign w:val="center"/>
          </w:tcPr>
          <w:p>
            <w:pPr>
              <w:jc w:val="center"/>
              <w:rPr>
                <w:kern w:val="0"/>
                <w:sz w:val="21"/>
                <w:szCs w:val="21"/>
              </w:rPr>
            </w:pPr>
            <w:r>
              <w:rPr>
                <w:rFonts w:hint="eastAsia"/>
                <w:kern w:val="0"/>
                <w:sz w:val="21"/>
                <w:szCs w:val="21"/>
              </w:rPr>
              <w:t>有</w:t>
            </w:r>
          </w:p>
        </w:tc>
        <w:tc>
          <w:tcPr>
            <w:tcW w:w="992" w:type="dxa"/>
            <w:vAlign w:val="center"/>
          </w:tcPr>
          <w:p>
            <w:pPr>
              <w:jc w:val="center"/>
              <w:rPr>
                <w:rFonts w:ascii="楷体" w:hAnsi="楷体"/>
                <w:kern w:val="0"/>
                <w:sz w:val="21"/>
                <w:szCs w:val="21"/>
              </w:rPr>
            </w:pPr>
            <w:r>
              <w:rPr>
                <w:rFonts w:hint="eastAsia" w:ascii="楷体" w:hAnsi="楷体"/>
                <w:kern w:val="0"/>
                <w:sz w:val="21"/>
                <w:szCs w:val="21"/>
              </w:rPr>
              <w:t>无</w:t>
            </w:r>
          </w:p>
        </w:tc>
        <w:tc>
          <w:tcPr>
            <w:tcW w:w="1276" w:type="dxa"/>
            <w:vAlign w:val="center"/>
          </w:tcPr>
          <w:p>
            <w:pPr>
              <w:jc w:val="center"/>
              <w:rPr>
                <w:rFonts w:ascii="楷体" w:hAnsi="楷体"/>
                <w:kern w:val="0"/>
                <w:sz w:val="21"/>
                <w:szCs w:val="21"/>
              </w:rPr>
            </w:pPr>
            <w:r>
              <w:rPr>
                <w:rFonts w:hint="eastAsia" w:ascii="楷体" w:hAnsi="楷体"/>
                <w:kern w:val="0"/>
                <w:sz w:val="21"/>
                <w:szCs w:val="21"/>
              </w:rPr>
              <w:t>无</w:t>
            </w:r>
          </w:p>
        </w:tc>
        <w:tc>
          <w:tcPr>
            <w:tcW w:w="4678" w:type="dxa"/>
          </w:tcPr>
          <w:p>
            <w:pPr>
              <w:jc w:val="left"/>
              <w:rPr>
                <w:rFonts w:ascii="楷体" w:hAnsi="楷体"/>
                <w:kern w:val="0"/>
                <w:sz w:val="21"/>
                <w:szCs w:val="21"/>
              </w:rPr>
            </w:pPr>
            <w:r>
              <w:rPr>
                <w:rFonts w:hint="eastAsia" w:ascii="楷体" w:hAnsi="楷体"/>
                <w:kern w:val="0"/>
                <w:sz w:val="21"/>
                <w:szCs w:val="21"/>
              </w:rPr>
              <w:t>对高压开关柜进行停电升级改造，拆除过流继电器，加装温湿度传感器、音频传感器和散热（除湿）装置智能控制器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rPr>
                <w:kern w:val="0"/>
                <w:sz w:val="21"/>
                <w:szCs w:val="21"/>
              </w:rPr>
            </w:pPr>
            <w:r>
              <w:rPr>
                <w:rFonts w:hint="eastAsia"/>
                <w:kern w:val="0"/>
                <w:sz w:val="21"/>
                <w:szCs w:val="21"/>
              </w:rPr>
              <w:t>4</w:t>
            </w:r>
          </w:p>
        </w:tc>
        <w:tc>
          <w:tcPr>
            <w:tcW w:w="992" w:type="dxa"/>
            <w:vAlign w:val="center"/>
          </w:tcPr>
          <w:p>
            <w:pPr>
              <w:jc w:val="center"/>
              <w:rPr>
                <w:kern w:val="0"/>
                <w:sz w:val="21"/>
                <w:szCs w:val="21"/>
              </w:rPr>
            </w:pPr>
            <w:r>
              <w:rPr>
                <w:rFonts w:hint="eastAsia"/>
                <w:kern w:val="0"/>
                <w:sz w:val="21"/>
                <w:szCs w:val="21"/>
              </w:rPr>
              <w:t>无</w:t>
            </w:r>
          </w:p>
        </w:tc>
        <w:tc>
          <w:tcPr>
            <w:tcW w:w="992" w:type="dxa"/>
            <w:vAlign w:val="center"/>
          </w:tcPr>
          <w:p>
            <w:pPr>
              <w:jc w:val="center"/>
              <w:rPr>
                <w:rFonts w:ascii="楷体" w:hAnsi="楷体"/>
                <w:kern w:val="0"/>
                <w:sz w:val="21"/>
                <w:szCs w:val="21"/>
              </w:rPr>
            </w:pPr>
            <w:r>
              <w:rPr>
                <w:rFonts w:hint="eastAsia" w:ascii="楷体" w:hAnsi="楷体"/>
                <w:kern w:val="0"/>
                <w:sz w:val="21"/>
                <w:szCs w:val="21"/>
              </w:rPr>
              <w:t>有</w:t>
            </w:r>
          </w:p>
        </w:tc>
        <w:tc>
          <w:tcPr>
            <w:tcW w:w="1276" w:type="dxa"/>
            <w:vAlign w:val="center"/>
          </w:tcPr>
          <w:p>
            <w:pPr>
              <w:jc w:val="center"/>
              <w:rPr>
                <w:rFonts w:ascii="楷体" w:hAnsi="楷体"/>
                <w:kern w:val="0"/>
                <w:sz w:val="21"/>
                <w:szCs w:val="21"/>
              </w:rPr>
            </w:pPr>
            <w:r>
              <w:rPr>
                <w:rFonts w:hint="eastAsia" w:ascii="楷体" w:hAnsi="楷体"/>
                <w:kern w:val="0"/>
                <w:sz w:val="21"/>
                <w:szCs w:val="21"/>
              </w:rPr>
              <w:t>无</w:t>
            </w:r>
          </w:p>
        </w:tc>
        <w:tc>
          <w:tcPr>
            <w:tcW w:w="4678" w:type="dxa"/>
          </w:tcPr>
          <w:p>
            <w:pPr>
              <w:jc w:val="left"/>
              <w:rPr>
                <w:rFonts w:ascii="楷体" w:hAnsi="楷体"/>
                <w:kern w:val="0"/>
                <w:sz w:val="21"/>
                <w:szCs w:val="21"/>
              </w:rPr>
            </w:pPr>
            <w:r>
              <w:rPr>
                <w:rFonts w:hint="eastAsia" w:ascii="楷体" w:hAnsi="楷体"/>
                <w:kern w:val="0"/>
                <w:sz w:val="21"/>
                <w:szCs w:val="21"/>
              </w:rPr>
              <w:t>对高压开关柜进行停电升级改造，拆除温湿度控制器（仅仅用来检测温度和湿度），加装散热（除湿）装置、温湿度传感器、音频传感器和散热（除湿）装置智能控制器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rPr>
                <w:kern w:val="0"/>
                <w:sz w:val="21"/>
                <w:szCs w:val="21"/>
              </w:rPr>
            </w:pPr>
            <w:r>
              <w:rPr>
                <w:rFonts w:hint="eastAsia"/>
                <w:kern w:val="0"/>
                <w:sz w:val="21"/>
                <w:szCs w:val="21"/>
              </w:rPr>
              <w:t>5</w:t>
            </w:r>
          </w:p>
        </w:tc>
        <w:tc>
          <w:tcPr>
            <w:tcW w:w="992" w:type="dxa"/>
            <w:vAlign w:val="center"/>
          </w:tcPr>
          <w:p>
            <w:pPr>
              <w:jc w:val="center"/>
              <w:rPr>
                <w:kern w:val="0"/>
                <w:sz w:val="21"/>
                <w:szCs w:val="21"/>
              </w:rPr>
            </w:pPr>
            <w:r>
              <w:rPr>
                <w:rFonts w:hint="eastAsia"/>
                <w:kern w:val="0"/>
                <w:sz w:val="21"/>
                <w:szCs w:val="21"/>
              </w:rPr>
              <w:t>有</w:t>
            </w:r>
          </w:p>
        </w:tc>
        <w:tc>
          <w:tcPr>
            <w:tcW w:w="992" w:type="dxa"/>
            <w:vAlign w:val="center"/>
          </w:tcPr>
          <w:p>
            <w:pPr>
              <w:jc w:val="center"/>
              <w:rPr>
                <w:kern w:val="0"/>
                <w:sz w:val="21"/>
                <w:szCs w:val="21"/>
              </w:rPr>
            </w:pPr>
            <w:r>
              <w:rPr>
                <w:rFonts w:hint="eastAsia"/>
                <w:kern w:val="0"/>
                <w:sz w:val="21"/>
                <w:szCs w:val="21"/>
              </w:rPr>
              <w:t>有</w:t>
            </w:r>
          </w:p>
        </w:tc>
        <w:tc>
          <w:tcPr>
            <w:tcW w:w="1276" w:type="dxa"/>
            <w:vAlign w:val="center"/>
          </w:tcPr>
          <w:p>
            <w:pPr>
              <w:jc w:val="center"/>
              <w:rPr>
                <w:kern w:val="0"/>
                <w:sz w:val="21"/>
                <w:szCs w:val="21"/>
              </w:rPr>
            </w:pPr>
            <w:r>
              <w:rPr>
                <w:rFonts w:hint="eastAsia"/>
                <w:kern w:val="0"/>
                <w:sz w:val="21"/>
                <w:szCs w:val="21"/>
              </w:rPr>
              <w:t>有</w:t>
            </w:r>
          </w:p>
        </w:tc>
        <w:tc>
          <w:tcPr>
            <w:tcW w:w="4678" w:type="dxa"/>
          </w:tcPr>
          <w:p>
            <w:pPr>
              <w:jc w:val="left"/>
              <w:rPr>
                <w:rFonts w:asciiTheme="minorEastAsia" w:hAnsiTheme="minorEastAsia" w:eastAsiaTheme="minorEastAsia"/>
                <w:kern w:val="0"/>
                <w:sz w:val="21"/>
                <w:szCs w:val="21"/>
              </w:rPr>
            </w:pPr>
            <w:r>
              <w:rPr>
                <w:rFonts w:hint="eastAsia" w:ascii="楷体" w:hAnsi="楷体"/>
                <w:kern w:val="0"/>
                <w:sz w:val="21"/>
                <w:szCs w:val="21"/>
              </w:rPr>
              <w:t>对高压开关柜进行停电升级改造，拆除过流继电器和温湿度控制器，加装音频传感器和散热（除湿）装置智能控制器</w:t>
            </w:r>
          </w:p>
        </w:tc>
      </w:tr>
    </w:tbl>
    <w:p>
      <w:pPr>
        <w:spacing w:line="400" w:lineRule="exact"/>
        <w:ind w:firstLine="480" w:firstLineChars="200"/>
        <w:rPr>
          <w:sz w:val="24"/>
          <w:szCs w:val="24"/>
        </w:rPr>
      </w:pPr>
    </w:p>
    <w:p>
      <w:pPr>
        <w:spacing w:line="400" w:lineRule="exact"/>
        <w:ind w:firstLine="480" w:firstLineChars="200"/>
        <w:rPr>
          <w:sz w:val="24"/>
          <w:szCs w:val="24"/>
        </w:rPr>
      </w:pPr>
      <w:r>
        <w:rPr>
          <w:rFonts w:hint="eastAsia"/>
          <w:sz w:val="24"/>
          <w:szCs w:val="24"/>
        </w:rPr>
        <w:t>服务过程中，应答人和甲方将同时增派一名监护人，随时看护现场作业人员的一举一动，每逢接通电源后又断开的情况，必须再次使用验电笔或者万用表进行验电后才能再次触摸，落实安全监护责任，确保现场服务施工安全、有序、顺利进行，并在甲方规定时间内完成升级服务。服务完成后，应答人项目负责人组织人员整理二次线路，使用扎带绑扎，同时清理现场垃圾、检查高压开关柜内是否存在遗留物，确保现场服务后高压开关柜及其散热装置完全具备送电条件。</w:t>
      </w:r>
    </w:p>
    <w:p>
      <w:pPr>
        <w:pStyle w:val="179"/>
        <w:numPr>
          <w:ilvl w:val="0"/>
          <w:numId w:val="15"/>
        </w:numPr>
        <w:spacing w:line="400" w:lineRule="exact"/>
        <w:ind w:firstLineChars="0"/>
        <w:rPr>
          <w:sz w:val="24"/>
          <w:szCs w:val="24"/>
        </w:rPr>
      </w:pPr>
      <w:r>
        <w:rPr>
          <w:rFonts w:hint="eastAsia"/>
          <w:b/>
          <w:bCs/>
          <w:sz w:val="24"/>
          <w:szCs w:val="24"/>
        </w:rPr>
        <w:t>安装调试</w:t>
      </w:r>
    </w:p>
    <w:p>
      <w:pPr>
        <w:spacing w:line="400" w:lineRule="exact"/>
        <w:ind w:firstLine="480" w:firstLineChars="200"/>
        <w:rPr>
          <w:sz w:val="24"/>
          <w:szCs w:val="24"/>
        </w:rPr>
      </w:pPr>
      <w:r>
        <w:rPr>
          <w:rFonts w:hint="eastAsia"/>
          <w:sz w:val="24"/>
          <w:szCs w:val="24"/>
        </w:rPr>
        <w:t>现场完成智能化升级的基础施工后，项目组调试人员将按照升级方案对现场设备进行联调，合上电源开关启动智能控制装置，首先进行设置参数，然后进行离线调试，高压开关柜送电后进行在线调试，确保每个变电站高压开关柜散热装置进行智能化升级服务后正常运行。</w:t>
      </w:r>
    </w:p>
    <w:p>
      <w:pPr>
        <w:pStyle w:val="179"/>
        <w:numPr>
          <w:ilvl w:val="0"/>
          <w:numId w:val="15"/>
        </w:numPr>
        <w:spacing w:line="400" w:lineRule="exact"/>
        <w:ind w:firstLineChars="0"/>
        <w:rPr>
          <w:rFonts w:hint="eastAsia"/>
          <w:sz w:val="24"/>
          <w:szCs w:val="24"/>
        </w:rPr>
      </w:pPr>
      <w:r>
        <w:rPr>
          <w:rFonts w:hint="eastAsia"/>
          <w:b/>
          <w:bCs/>
          <w:sz w:val="24"/>
          <w:szCs w:val="24"/>
        </w:rPr>
        <w:t>环境保护与文明施工</w:t>
      </w:r>
    </w:p>
    <w:p>
      <w:pPr>
        <w:spacing w:line="400" w:lineRule="exact"/>
        <w:ind w:firstLine="480" w:firstLineChars="200"/>
        <w:rPr>
          <w:rFonts w:hint="eastAsia"/>
          <w:sz w:val="24"/>
          <w:szCs w:val="24"/>
        </w:rPr>
      </w:pPr>
      <w:r>
        <w:rPr>
          <w:rFonts w:hint="eastAsia"/>
          <w:sz w:val="24"/>
          <w:szCs w:val="24"/>
        </w:rPr>
        <w:t>组织项目人员集中学习《国家电网公司输变电工程安全文明施工标准化工作规定》与《安全文明施工实时细则》，实现安全文明施工“六化”要求；根据本工程特点所识别环境因素，主要应控制固体废弃物、相关设备耗材、测试仪器、工器具及快餐盒等。在每次施工结束后，按要求进行固体废弃物的收集、分类堆放及处置；现场设备、材料进行定置堆放，机具安置在专用加工棚内，施工道路设专人负责清扫，每天施工技术后必须清理好现场，作到“工完料尽场地清”。本项目不涉及油物泄露、氧气、乙炔等易燃爆化学物品。此外，文明施工、预防或减少施工对环境的影响，使施工污水排放、废弃物处置等满足环境法要求。在技术服务中，积极利用新技术、新工艺，倡导绿色施工，节约能源、资源，不断降低能耗与施工物耗。</w:t>
      </w:r>
    </w:p>
    <w:p>
      <w:pPr>
        <w:pStyle w:val="179"/>
        <w:numPr>
          <w:ilvl w:val="0"/>
          <w:numId w:val="15"/>
        </w:numPr>
        <w:spacing w:line="400" w:lineRule="exact"/>
        <w:ind w:firstLineChars="0"/>
        <w:rPr>
          <w:sz w:val="24"/>
          <w:szCs w:val="24"/>
        </w:rPr>
      </w:pPr>
      <w:r>
        <w:rPr>
          <w:rFonts w:hint="eastAsia"/>
          <w:b/>
          <w:bCs/>
          <w:sz w:val="24"/>
          <w:szCs w:val="24"/>
        </w:rPr>
        <w:t>售后培训</w:t>
      </w:r>
    </w:p>
    <w:p>
      <w:pPr>
        <w:spacing w:line="400" w:lineRule="exact"/>
        <w:ind w:firstLine="480" w:firstLineChars="200"/>
        <w:rPr>
          <w:sz w:val="24"/>
          <w:szCs w:val="24"/>
        </w:rPr>
      </w:pPr>
      <w:r>
        <w:rPr>
          <w:rFonts w:hint="eastAsia"/>
          <w:sz w:val="24"/>
          <w:szCs w:val="24"/>
        </w:rPr>
        <w:t>项目组将留出2名技术人员随时与甲方项目负责人或者甲方运检人员保持联系，随时解答甲方现场遇到的疑惑，支撑现场设备安全稳定运行。</w:t>
      </w:r>
    </w:p>
    <w:p>
      <w:pPr>
        <w:spacing w:line="400" w:lineRule="exact"/>
        <w:ind w:firstLine="480" w:firstLineChars="200"/>
        <w:rPr>
          <w:rFonts w:hint="eastAsia"/>
          <w:sz w:val="24"/>
          <w:szCs w:val="24"/>
        </w:rPr>
      </w:pPr>
    </w:p>
    <w:p>
      <w:pPr>
        <w:pStyle w:val="3"/>
        <w:rPr>
          <w:sz w:val="24"/>
          <w:szCs w:val="24"/>
        </w:rPr>
      </w:pPr>
      <w:r>
        <w:rPr>
          <w:rFonts w:hint="eastAsia"/>
          <w:kern w:val="0"/>
          <w:sz w:val="24"/>
          <w:szCs w:val="24"/>
        </w:rPr>
        <w:t>7、</w:t>
      </w:r>
      <w:r>
        <w:rPr>
          <w:rFonts w:hint="eastAsia"/>
          <w:sz w:val="24"/>
          <w:szCs w:val="24"/>
        </w:rPr>
        <w:t>工作（服务）方案的</w:t>
      </w:r>
      <w:r>
        <w:rPr>
          <w:rFonts w:hint="eastAsia"/>
          <w:kern w:val="0"/>
          <w:sz w:val="24"/>
          <w:szCs w:val="24"/>
        </w:rPr>
        <w:t>先进性、</w:t>
      </w:r>
      <w:r>
        <w:rPr>
          <w:rFonts w:hint="eastAsia"/>
          <w:sz w:val="24"/>
          <w:szCs w:val="24"/>
        </w:rPr>
        <w:t>创新性，技术、经济、质量指标，风险分析等</w:t>
      </w:r>
    </w:p>
    <w:p>
      <w:pPr>
        <w:spacing w:line="400" w:lineRule="exact"/>
        <w:ind w:firstLine="480" w:firstLineChars="200"/>
        <w:rPr>
          <w:sz w:val="24"/>
          <w:szCs w:val="24"/>
        </w:rPr>
      </w:pPr>
      <w:r>
        <w:rPr>
          <w:rFonts w:hint="eastAsia"/>
          <w:sz w:val="24"/>
          <w:szCs w:val="24"/>
        </w:rPr>
        <w:t>本次高压开关柜散热装置智能化升级服务采用高度智能化、信息化和可视化手段，高校解决了高压开关柜散热装置存在设备老旧、可靠性低、启停手段单一和运检部门维护困难等问题，完全实现了散热装置的实时监测、实时控制以及可视一体化，本次技术服务的整体水平在国内具有一定领先性。</w:t>
      </w:r>
    </w:p>
    <w:p>
      <w:pPr>
        <w:spacing w:line="400" w:lineRule="exact"/>
        <w:ind w:firstLine="480" w:firstLineChars="200"/>
        <w:rPr>
          <w:sz w:val="24"/>
          <w:szCs w:val="24"/>
        </w:rPr>
      </w:pPr>
      <w:r>
        <w:rPr>
          <w:rFonts w:hint="eastAsia"/>
          <w:sz w:val="24"/>
          <w:szCs w:val="24"/>
        </w:rPr>
        <w:t>本次智能化升级服务完成后，流过高压开关柜的负荷电流以及柜内温湿度最重要的两大指标实现了可视化，实现了散热装置的运行状态实时监测、故障装置定位、就地或远程控制、异常运行告警与异常退出运行等传统设备无法达到的智能化控制与可视化，具备先进性。</w:t>
      </w:r>
    </w:p>
    <w:p>
      <w:pPr>
        <w:spacing w:line="400" w:lineRule="exact"/>
        <w:ind w:firstLine="480" w:firstLineChars="200"/>
        <w:rPr>
          <w:sz w:val="24"/>
          <w:szCs w:val="24"/>
        </w:rPr>
      </w:pPr>
      <w:r>
        <w:rPr>
          <w:rFonts w:hint="eastAsia"/>
          <w:sz w:val="24"/>
          <w:szCs w:val="24"/>
        </w:rPr>
        <w:t>通过本次智能化升级服务，将极大提升所涉及改造的1</w:t>
      </w:r>
      <w:r>
        <w:rPr>
          <w:sz w:val="24"/>
          <w:szCs w:val="24"/>
        </w:rPr>
        <w:t>10kV</w:t>
      </w:r>
      <w:r>
        <w:rPr>
          <w:rFonts w:hint="eastAsia"/>
          <w:sz w:val="24"/>
          <w:szCs w:val="24"/>
        </w:rPr>
        <w:t>变电站高压开关柜散热装置的运检工作效率，保证了高压开关柜在良好环境下安全稳定运行，避免了因高压开关柜故障而对电网公司造成巨大的经济损失。</w:t>
      </w:r>
    </w:p>
    <w:p>
      <w:pPr>
        <w:spacing w:line="400" w:lineRule="exact"/>
        <w:ind w:firstLine="480" w:firstLineChars="200"/>
        <w:rPr>
          <w:sz w:val="24"/>
          <w:szCs w:val="24"/>
        </w:rPr>
      </w:pPr>
      <w:r>
        <w:rPr>
          <w:rFonts w:hint="eastAsia"/>
          <w:sz w:val="24"/>
          <w:szCs w:val="24"/>
        </w:rPr>
        <w:t>通过本次服务，现场散热装置实现了全寿命周期管理，现场智能化设备具有极高可靠性，不会对现有设备产生任何影响，反而能增强现场高压开关柜运行环境质量，服务质量将得到极大保证。</w:t>
      </w:r>
    </w:p>
    <w:p>
      <w:pPr>
        <w:spacing w:line="400" w:lineRule="exact"/>
        <w:ind w:firstLine="480" w:firstLineChars="200"/>
        <w:rPr>
          <w:sz w:val="24"/>
          <w:szCs w:val="24"/>
        </w:rPr>
      </w:pPr>
    </w:p>
    <w:p>
      <w:pPr>
        <w:spacing w:line="400" w:lineRule="exact"/>
        <w:ind w:firstLine="480" w:firstLineChars="200"/>
        <w:rPr>
          <w:sz w:val="24"/>
          <w:szCs w:val="24"/>
        </w:rPr>
      </w:pPr>
    </w:p>
    <w:p>
      <w:pPr>
        <w:spacing w:line="400" w:lineRule="exact"/>
        <w:ind w:firstLine="480" w:firstLineChars="200"/>
        <w:rPr>
          <w:sz w:val="24"/>
          <w:szCs w:val="24"/>
        </w:rPr>
      </w:pPr>
    </w:p>
    <w:p>
      <w:pPr>
        <w:pStyle w:val="3"/>
        <w:pageBreakBefore/>
        <w:rPr>
          <w:sz w:val="24"/>
          <w:szCs w:val="24"/>
        </w:rPr>
      </w:pPr>
      <w:r>
        <w:rPr>
          <w:rFonts w:hint="eastAsia"/>
          <w:sz w:val="24"/>
          <w:szCs w:val="24"/>
        </w:rPr>
        <w:t>8、对采购文件技术标准与要求的应答</w:t>
      </w:r>
    </w:p>
    <w:p>
      <w:pPr>
        <w:spacing w:before="156" w:beforeLines="50" w:after="156" w:afterLines="50" w:line="400" w:lineRule="exact"/>
        <w:rPr>
          <w:b/>
          <w:bCs/>
          <w:sz w:val="24"/>
          <w:szCs w:val="24"/>
          <w:u w:val="single"/>
        </w:rPr>
      </w:pPr>
      <w:r>
        <w:rPr>
          <w:rFonts w:hint="eastAsia"/>
          <w:b/>
          <w:bCs/>
          <w:sz w:val="24"/>
          <w:szCs w:val="24"/>
          <w:u w:val="single"/>
        </w:rPr>
        <w:t>1）对技术标准和规范的应答</w:t>
      </w:r>
    </w:p>
    <w:p>
      <w:pPr>
        <w:spacing w:line="400" w:lineRule="exact"/>
        <w:ind w:firstLine="480" w:firstLineChars="200"/>
        <w:rPr>
          <w:rFonts w:ascii="宋体"/>
          <w:sz w:val="24"/>
          <w:szCs w:val="24"/>
        </w:rPr>
      </w:pPr>
      <w:r>
        <w:rPr>
          <w:rFonts w:hint="eastAsia" w:ascii="宋体" w:hAnsi="宋体"/>
          <w:sz w:val="24"/>
          <w:szCs w:val="24"/>
        </w:rPr>
        <w:t>开关柜大修工程采用的主要技术标准和规范如下（但不限于），并应为其最新版本：</w:t>
      </w:r>
    </w:p>
    <w:p>
      <w:pPr>
        <w:jc w:val="center"/>
        <w:rPr>
          <w:rFonts w:ascii="仿宋_GB2312" w:hAnsi="仿宋_GB2312" w:eastAsia="仿宋_GB2312"/>
          <w:b/>
          <w:szCs w:val="21"/>
        </w:rPr>
      </w:pPr>
      <w:bookmarkStart w:id="16" w:name="_Toc320025544"/>
      <w:r>
        <w:rPr>
          <w:rFonts w:hint="eastAsia" w:ascii="仿宋_GB2312" w:hAnsi="仿宋_GB2312" w:eastAsia="仿宋_GB2312"/>
          <w:b/>
          <w:szCs w:val="21"/>
        </w:rPr>
        <w:t>表一：变电站电气安装工程现行主要质量标准、规范</w:t>
      </w:r>
      <w:bookmarkEnd w:id="16"/>
    </w:p>
    <w:tbl>
      <w:tblPr>
        <w:tblStyle w:val="49"/>
        <w:tblW w:w="84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5460"/>
        <w:gridCol w:w="1676"/>
        <w:gridCol w:w="6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tcBorders>
              <w:top w:val="single" w:color="auto" w:sz="12" w:space="0"/>
            </w:tcBorders>
            <w:tcMar>
              <w:left w:w="0" w:type="dxa"/>
              <w:right w:w="0" w:type="dxa"/>
            </w:tcMar>
            <w:vAlign w:val="center"/>
          </w:tcPr>
          <w:p>
            <w:pPr>
              <w:ind w:left="-63" w:leftChars="-30" w:right="-63" w:rightChars="-30"/>
              <w:jc w:val="center"/>
              <w:rPr>
                <w:rFonts w:ascii="仿宋_GB2312" w:hAnsi="仿宋_GB2312" w:eastAsia="仿宋_GB2312"/>
                <w:b/>
              </w:rPr>
            </w:pPr>
            <w:r>
              <w:rPr>
                <w:rFonts w:hint="eastAsia" w:ascii="仿宋_GB2312" w:hAnsi="仿宋_GB2312" w:eastAsia="仿宋_GB2312"/>
                <w:b/>
              </w:rPr>
              <w:t>编号</w:t>
            </w:r>
          </w:p>
        </w:tc>
        <w:tc>
          <w:tcPr>
            <w:tcW w:w="5460" w:type="dxa"/>
            <w:tcBorders>
              <w:top w:val="single" w:color="auto" w:sz="12" w:space="0"/>
            </w:tcBorders>
            <w:tcMar>
              <w:left w:w="0" w:type="dxa"/>
              <w:right w:w="0" w:type="dxa"/>
            </w:tcMar>
            <w:vAlign w:val="center"/>
          </w:tcPr>
          <w:p>
            <w:pPr>
              <w:ind w:left="-63" w:leftChars="-30" w:right="-63" w:rightChars="-30"/>
              <w:jc w:val="center"/>
              <w:rPr>
                <w:rFonts w:ascii="仿宋_GB2312" w:hAnsi="仿宋_GB2312" w:eastAsia="仿宋_GB2312"/>
                <w:b/>
              </w:rPr>
            </w:pPr>
            <w:r>
              <w:rPr>
                <w:rFonts w:hint="eastAsia" w:ascii="仿宋_GB2312" w:hAnsi="仿宋_GB2312" w:eastAsia="仿宋_GB2312"/>
                <w:b/>
              </w:rPr>
              <w:t>标准名称</w:t>
            </w:r>
          </w:p>
        </w:tc>
        <w:tc>
          <w:tcPr>
            <w:tcW w:w="1676" w:type="dxa"/>
            <w:tcBorders>
              <w:top w:val="single" w:color="auto" w:sz="12" w:space="0"/>
            </w:tcBorders>
            <w:vAlign w:val="center"/>
          </w:tcPr>
          <w:p>
            <w:pPr>
              <w:ind w:left="-63" w:leftChars="-30" w:right="-63" w:rightChars="-30"/>
              <w:jc w:val="center"/>
              <w:rPr>
                <w:rFonts w:ascii="仿宋_GB2312" w:hAnsi="仿宋_GB2312" w:eastAsia="仿宋_GB2312"/>
                <w:b/>
              </w:rPr>
            </w:pPr>
            <w:r>
              <w:rPr>
                <w:rFonts w:hint="eastAsia" w:ascii="仿宋_GB2312" w:hAnsi="仿宋_GB2312" w:eastAsia="仿宋_GB2312"/>
                <w:b/>
              </w:rPr>
              <w:t>标准号</w:t>
            </w:r>
          </w:p>
        </w:tc>
        <w:tc>
          <w:tcPr>
            <w:tcW w:w="624" w:type="dxa"/>
            <w:tcBorders>
              <w:top w:val="single" w:color="auto" w:sz="12" w:space="0"/>
            </w:tcBorders>
          </w:tcPr>
          <w:p>
            <w:pPr>
              <w:ind w:left="-63" w:leftChars="-30" w:right="-63" w:rightChars="-30"/>
              <w:jc w:val="center"/>
              <w:rPr>
                <w:rFonts w:ascii="仿宋_GB2312" w:hAnsi="仿宋_GB2312" w:eastAsia="仿宋_GB2312"/>
                <w:kern w:val="21"/>
              </w:rPr>
            </w:pPr>
            <w:r>
              <w:rPr>
                <w:rFonts w:hint="eastAsia" w:ascii="仿宋_GB2312" w:hAnsi="仿宋_GB2312" w:eastAsia="仿宋_GB2312"/>
                <w:b/>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tcMar>
              <w:left w:w="0" w:type="dxa"/>
              <w:right w:w="0" w:type="dxa"/>
            </w:tcMar>
            <w:vAlign w:val="center"/>
          </w:tcPr>
          <w:p>
            <w:pPr>
              <w:pStyle w:val="329"/>
              <w:ind w:left="19" w:leftChars="9" w:right="42"/>
              <w:rPr>
                <w:rFonts w:hint="default" w:ascii="仿宋_GB2312" w:hAnsi="仿宋_GB2312" w:eastAsia="仿宋_GB2312"/>
                <w:color w:val="auto"/>
                <w:sz w:val="21"/>
              </w:rPr>
            </w:pPr>
            <w:r>
              <w:rPr>
                <w:rFonts w:ascii="仿宋_GB2312" w:hAnsi="仿宋_GB2312" w:eastAsia="仿宋_GB2312"/>
                <w:color w:val="auto"/>
                <w:sz w:val="21"/>
              </w:rPr>
              <w:t>1</w:t>
            </w:r>
          </w:p>
        </w:tc>
        <w:tc>
          <w:tcPr>
            <w:tcW w:w="5460" w:type="dxa"/>
            <w:tcMar>
              <w:left w:w="0" w:type="dxa"/>
              <w:right w:w="0" w:type="dxa"/>
            </w:tcMar>
            <w:vAlign w:val="center"/>
          </w:tcPr>
          <w:p>
            <w:pPr>
              <w:pStyle w:val="329"/>
              <w:ind w:left="42"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电气装置安装工程电力开关柜施工及验收规范</w:t>
            </w:r>
          </w:p>
        </w:tc>
        <w:tc>
          <w:tcPr>
            <w:tcW w:w="1676" w:type="dxa"/>
            <w:vAlign w:val="center"/>
          </w:tcPr>
          <w:p>
            <w:pPr>
              <w:pStyle w:val="329"/>
              <w:ind w:left="0" w:leftChars="0"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GB50148－2010</w:t>
            </w:r>
          </w:p>
        </w:tc>
        <w:tc>
          <w:tcPr>
            <w:tcW w:w="624" w:type="dxa"/>
            <w:vAlign w:val="center"/>
          </w:tcPr>
          <w:p>
            <w:pPr>
              <w:pStyle w:val="329"/>
              <w:ind w:left="42" w:right="42" w:firstLine="210" w:firstLineChars="100"/>
              <w:jc w:val="both"/>
              <w:rPr>
                <w:rFonts w:hint="default" w:ascii="仿宋_GB2312" w:hAnsi="仿宋_GB2312" w:eastAsia="仿宋_GB2312"/>
                <w:color w:val="auto"/>
                <w:kern w:val="21"/>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tcMar>
              <w:left w:w="0" w:type="dxa"/>
              <w:right w:w="0" w:type="dxa"/>
            </w:tcMar>
            <w:vAlign w:val="center"/>
          </w:tcPr>
          <w:p>
            <w:pPr>
              <w:pStyle w:val="329"/>
              <w:ind w:left="19" w:leftChars="9" w:right="42"/>
              <w:rPr>
                <w:rFonts w:hint="default" w:ascii="仿宋_GB2312" w:hAnsi="仿宋_GB2312" w:eastAsia="仿宋_GB2312"/>
                <w:color w:val="auto"/>
                <w:sz w:val="21"/>
              </w:rPr>
            </w:pPr>
            <w:r>
              <w:rPr>
                <w:rFonts w:ascii="仿宋_GB2312" w:hAnsi="仿宋_GB2312" w:eastAsia="仿宋_GB2312"/>
                <w:color w:val="auto"/>
                <w:sz w:val="21"/>
              </w:rPr>
              <w:t>2</w:t>
            </w:r>
          </w:p>
        </w:tc>
        <w:tc>
          <w:tcPr>
            <w:tcW w:w="5460"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电气装置安装工程母线装置施工及验收规范</w:t>
            </w:r>
          </w:p>
        </w:tc>
        <w:tc>
          <w:tcPr>
            <w:tcW w:w="1676" w:type="dxa"/>
            <w:vAlign w:val="center"/>
          </w:tcPr>
          <w:p>
            <w:pPr>
              <w:pStyle w:val="329"/>
              <w:ind w:left="0" w:leftChars="0"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GB 50149－2010</w:t>
            </w:r>
          </w:p>
        </w:tc>
        <w:tc>
          <w:tcPr>
            <w:tcW w:w="624" w:type="dxa"/>
            <w:vAlign w:val="center"/>
          </w:tcPr>
          <w:p>
            <w:pPr>
              <w:pStyle w:val="329"/>
              <w:ind w:left="42" w:right="42" w:firstLine="210" w:firstLineChars="100"/>
              <w:jc w:val="both"/>
              <w:rPr>
                <w:rFonts w:hint="default" w:ascii="仿宋_GB2312" w:hAnsi="仿宋_GB2312" w:eastAsia="仿宋_GB2312"/>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tcMar>
              <w:left w:w="0" w:type="dxa"/>
              <w:right w:w="0" w:type="dxa"/>
            </w:tcMar>
            <w:vAlign w:val="center"/>
          </w:tcPr>
          <w:p>
            <w:pPr>
              <w:pStyle w:val="329"/>
              <w:ind w:left="19" w:leftChars="9" w:right="42"/>
              <w:rPr>
                <w:rFonts w:hint="default" w:ascii="仿宋_GB2312" w:hAnsi="仿宋_GB2312" w:eastAsia="仿宋_GB2312"/>
                <w:color w:val="auto"/>
                <w:sz w:val="21"/>
              </w:rPr>
            </w:pPr>
            <w:r>
              <w:rPr>
                <w:rFonts w:ascii="仿宋_GB2312" w:hAnsi="仿宋_GB2312" w:eastAsia="仿宋_GB2312"/>
                <w:color w:val="auto"/>
                <w:sz w:val="21"/>
              </w:rPr>
              <w:t>3</w:t>
            </w:r>
          </w:p>
        </w:tc>
        <w:tc>
          <w:tcPr>
            <w:tcW w:w="5460"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电气装置安装工程电气设备交接试验标准</w:t>
            </w:r>
          </w:p>
        </w:tc>
        <w:tc>
          <w:tcPr>
            <w:tcW w:w="1676" w:type="dxa"/>
            <w:vAlign w:val="center"/>
          </w:tcPr>
          <w:p>
            <w:pPr>
              <w:pStyle w:val="329"/>
              <w:ind w:left="0" w:leftChars="0"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GB 50150－2006</w:t>
            </w:r>
          </w:p>
        </w:tc>
        <w:tc>
          <w:tcPr>
            <w:tcW w:w="624" w:type="dxa"/>
            <w:vAlign w:val="center"/>
          </w:tcPr>
          <w:p>
            <w:pPr>
              <w:pStyle w:val="329"/>
              <w:ind w:left="42" w:right="42" w:firstLine="210" w:firstLineChars="100"/>
              <w:jc w:val="both"/>
              <w:rPr>
                <w:rFonts w:hint="default" w:ascii="仿宋_GB2312" w:hAnsi="仿宋_GB2312" w:eastAsia="仿宋_GB2312"/>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tcMar>
              <w:left w:w="0" w:type="dxa"/>
              <w:right w:w="0" w:type="dxa"/>
            </w:tcMar>
            <w:vAlign w:val="center"/>
          </w:tcPr>
          <w:p>
            <w:pPr>
              <w:pStyle w:val="329"/>
              <w:ind w:left="19" w:leftChars="9" w:right="42"/>
              <w:rPr>
                <w:rFonts w:hint="default" w:ascii="仿宋_GB2312" w:hAnsi="仿宋_GB2312" w:eastAsia="仿宋_GB2312"/>
                <w:color w:val="auto"/>
                <w:sz w:val="21"/>
              </w:rPr>
            </w:pPr>
            <w:r>
              <w:rPr>
                <w:rFonts w:ascii="仿宋_GB2312" w:hAnsi="仿宋_GB2312" w:eastAsia="仿宋_GB2312"/>
                <w:color w:val="auto"/>
                <w:sz w:val="21"/>
              </w:rPr>
              <w:t>4</w:t>
            </w:r>
          </w:p>
        </w:tc>
        <w:tc>
          <w:tcPr>
            <w:tcW w:w="5460"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电气装置安装工程接地装置施工及验收规范</w:t>
            </w:r>
          </w:p>
        </w:tc>
        <w:tc>
          <w:tcPr>
            <w:tcW w:w="1676" w:type="dxa"/>
            <w:vAlign w:val="center"/>
          </w:tcPr>
          <w:p>
            <w:pPr>
              <w:pStyle w:val="329"/>
              <w:ind w:left="0" w:leftChars="0"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GB 50169－2006</w:t>
            </w:r>
          </w:p>
        </w:tc>
        <w:tc>
          <w:tcPr>
            <w:tcW w:w="624" w:type="dxa"/>
            <w:vAlign w:val="center"/>
          </w:tcPr>
          <w:p>
            <w:pPr>
              <w:pStyle w:val="329"/>
              <w:ind w:left="42" w:right="42" w:firstLine="210" w:firstLineChars="100"/>
              <w:jc w:val="both"/>
              <w:rPr>
                <w:rFonts w:hint="default" w:ascii="仿宋_GB2312" w:hAnsi="仿宋_GB2312" w:eastAsia="仿宋_GB2312"/>
                <w:color w:val="auto"/>
                <w:kern w:val="21"/>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tcMar>
              <w:left w:w="0" w:type="dxa"/>
              <w:right w:w="0" w:type="dxa"/>
            </w:tcMar>
            <w:vAlign w:val="center"/>
          </w:tcPr>
          <w:p>
            <w:pPr>
              <w:pStyle w:val="329"/>
              <w:ind w:left="19" w:leftChars="9" w:right="42"/>
              <w:rPr>
                <w:rFonts w:hint="default" w:ascii="仿宋_GB2312" w:hAnsi="仿宋_GB2312" w:eastAsia="仿宋_GB2312"/>
                <w:color w:val="auto"/>
                <w:sz w:val="21"/>
              </w:rPr>
            </w:pPr>
            <w:r>
              <w:rPr>
                <w:rFonts w:ascii="仿宋_GB2312" w:hAnsi="仿宋_GB2312" w:eastAsia="仿宋_GB2312"/>
                <w:color w:val="auto"/>
                <w:sz w:val="21"/>
              </w:rPr>
              <w:t>5</w:t>
            </w:r>
          </w:p>
        </w:tc>
        <w:tc>
          <w:tcPr>
            <w:tcW w:w="5460"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电气装置安装工程母线装置施工及验收规范</w:t>
            </w:r>
          </w:p>
        </w:tc>
        <w:tc>
          <w:tcPr>
            <w:tcW w:w="1676" w:type="dxa"/>
            <w:vAlign w:val="center"/>
          </w:tcPr>
          <w:p>
            <w:pPr>
              <w:pStyle w:val="329"/>
              <w:ind w:left="0" w:leftChars="0"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GB 50149－2010</w:t>
            </w:r>
          </w:p>
        </w:tc>
        <w:tc>
          <w:tcPr>
            <w:tcW w:w="624" w:type="dxa"/>
            <w:vAlign w:val="center"/>
          </w:tcPr>
          <w:p>
            <w:pPr>
              <w:pStyle w:val="329"/>
              <w:ind w:left="42" w:right="42" w:firstLine="210" w:firstLineChars="100"/>
              <w:jc w:val="both"/>
              <w:rPr>
                <w:rFonts w:hint="default" w:ascii="仿宋_GB2312" w:hAnsi="仿宋_GB2312" w:eastAsia="仿宋_GB2312"/>
                <w:color w:val="auto"/>
                <w:kern w:val="21"/>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tcMar>
              <w:left w:w="0" w:type="dxa"/>
              <w:right w:w="0" w:type="dxa"/>
            </w:tcMar>
            <w:vAlign w:val="center"/>
          </w:tcPr>
          <w:p>
            <w:pPr>
              <w:pStyle w:val="329"/>
              <w:ind w:left="19" w:leftChars="9" w:right="42"/>
              <w:rPr>
                <w:rFonts w:hint="default" w:ascii="仿宋_GB2312" w:hAnsi="仿宋_GB2312" w:eastAsia="仿宋_GB2312"/>
                <w:color w:val="auto"/>
                <w:sz w:val="21"/>
              </w:rPr>
            </w:pPr>
            <w:r>
              <w:rPr>
                <w:rFonts w:ascii="仿宋_GB2312" w:hAnsi="仿宋_GB2312" w:eastAsia="仿宋_GB2312"/>
                <w:color w:val="auto"/>
                <w:sz w:val="21"/>
              </w:rPr>
              <w:t>6</w:t>
            </w:r>
          </w:p>
        </w:tc>
        <w:tc>
          <w:tcPr>
            <w:tcW w:w="5460"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电气装置安装工程电气设备交接试验标准</w:t>
            </w:r>
          </w:p>
        </w:tc>
        <w:tc>
          <w:tcPr>
            <w:tcW w:w="1676" w:type="dxa"/>
            <w:vAlign w:val="center"/>
          </w:tcPr>
          <w:p>
            <w:pPr>
              <w:pStyle w:val="329"/>
              <w:ind w:left="0" w:leftChars="0"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GB 50150－2006</w:t>
            </w:r>
          </w:p>
        </w:tc>
        <w:tc>
          <w:tcPr>
            <w:tcW w:w="624" w:type="dxa"/>
            <w:vAlign w:val="center"/>
          </w:tcPr>
          <w:p>
            <w:pPr>
              <w:pStyle w:val="329"/>
              <w:ind w:left="42" w:right="42" w:firstLine="210" w:firstLineChars="100"/>
              <w:jc w:val="both"/>
              <w:rPr>
                <w:rFonts w:hint="default" w:ascii="仿宋_GB2312" w:hAnsi="仿宋_GB2312" w:eastAsia="仿宋_GB2312"/>
                <w:color w:val="auto"/>
                <w:kern w:val="21"/>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tcMar>
              <w:left w:w="0" w:type="dxa"/>
              <w:right w:w="0" w:type="dxa"/>
            </w:tcMar>
            <w:vAlign w:val="center"/>
          </w:tcPr>
          <w:p>
            <w:pPr>
              <w:pStyle w:val="329"/>
              <w:ind w:left="19" w:leftChars="9" w:right="42"/>
              <w:rPr>
                <w:rFonts w:hint="default" w:ascii="仿宋_GB2312" w:hAnsi="仿宋_GB2312" w:eastAsia="仿宋_GB2312"/>
                <w:color w:val="auto"/>
                <w:sz w:val="21"/>
              </w:rPr>
            </w:pPr>
            <w:r>
              <w:rPr>
                <w:rFonts w:ascii="仿宋_GB2312" w:hAnsi="仿宋_GB2312" w:eastAsia="仿宋_GB2312"/>
                <w:color w:val="auto"/>
                <w:sz w:val="21"/>
              </w:rPr>
              <w:t>7</w:t>
            </w:r>
          </w:p>
        </w:tc>
        <w:tc>
          <w:tcPr>
            <w:tcW w:w="5460"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电气装置安装工程接地装置施工及验收规范</w:t>
            </w:r>
          </w:p>
        </w:tc>
        <w:tc>
          <w:tcPr>
            <w:tcW w:w="1676" w:type="dxa"/>
            <w:vAlign w:val="center"/>
          </w:tcPr>
          <w:p>
            <w:pPr>
              <w:pStyle w:val="329"/>
              <w:ind w:left="0" w:leftChars="0"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GB 50169－2006</w:t>
            </w:r>
          </w:p>
        </w:tc>
        <w:tc>
          <w:tcPr>
            <w:tcW w:w="624" w:type="dxa"/>
            <w:vAlign w:val="center"/>
          </w:tcPr>
          <w:p>
            <w:pPr>
              <w:pStyle w:val="329"/>
              <w:ind w:left="42" w:right="42" w:firstLine="210" w:firstLineChars="100"/>
              <w:jc w:val="both"/>
              <w:rPr>
                <w:rFonts w:hint="default" w:ascii="仿宋_GB2312" w:hAnsi="仿宋_GB2312" w:eastAsia="仿宋_GB2312"/>
                <w:color w:val="auto"/>
                <w:kern w:val="21"/>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tcMar>
              <w:left w:w="0" w:type="dxa"/>
              <w:right w:w="0" w:type="dxa"/>
            </w:tcMar>
            <w:vAlign w:val="center"/>
          </w:tcPr>
          <w:p>
            <w:pPr>
              <w:pStyle w:val="329"/>
              <w:ind w:left="19" w:leftChars="9" w:right="42"/>
              <w:rPr>
                <w:rFonts w:hint="default" w:ascii="仿宋_GB2312" w:hAnsi="仿宋_GB2312" w:eastAsia="仿宋_GB2312"/>
                <w:color w:val="auto"/>
                <w:sz w:val="21"/>
              </w:rPr>
            </w:pPr>
            <w:r>
              <w:rPr>
                <w:rFonts w:ascii="仿宋_GB2312" w:hAnsi="仿宋_GB2312" w:eastAsia="仿宋_GB2312"/>
                <w:color w:val="auto"/>
                <w:sz w:val="21"/>
              </w:rPr>
              <w:t>8</w:t>
            </w:r>
          </w:p>
        </w:tc>
        <w:tc>
          <w:tcPr>
            <w:tcW w:w="5460"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电气装置安装工程盘、柜及二次回路结线施工及验收规范</w:t>
            </w:r>
          </w:p>
        </w:tc>
        <w:tc>
          <w:tcPr>
            <w:tcW w:w="1676" w:type="dxa"/>
            <w:vAlign w:val="center"/>
          </w:tcPr>
          <w:p>
            <w:pPr>
              <w:pStyle w:val="329"/>
              <w:ind w:left="0" w:leftChars="0"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GB 50171－92</w:t>
            </w:r>
          </w:p>
        </w:tc>
        <w:tc>
          <w:tcPr>
            <w:tcW w:w="624" w:type="dxa"/>
            <w:vAlign w:val="center"/>
          </w:tcPr>
          <w:p>
            <w:pPr>
              <w:pStyle w:val="329"/>
              <w:ind w:left="42" w:right="42" w:firstLine="210" w:firstLineChars="100"/>
              <w:jc w:val="both"/>
              <w:rPr>
                <w:rFonts w:hint="default" w:ascii="仿宋_GB2312" w:hAnsi="仿宋_GB2312" w:eastAsia="仿宋_GB2312"/>
                <w:color w:val="auto"/>
                <w:kern w:val="21"/>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tcMar>
              <w:left w:w="0" w:type="dxa"/>
              <w:right w:w="0" w:type="dxa"/>
            </w:tcMar>
            <w:vAlign w:val="center"/>
          </w:tcPr>
          <w:p>
            <w:pPr>
              <w:pStyle w:val="329"/>
              <w:ind w:left="19" w:leftChars="9" w:right="42"/>
              <w:rPr>
                <w:rFonts w:hint="default" w:ascii="仿宋_GB2312" w:hAnsi="仿宋_GB2312" w:eastAsia="仿宋_GB2312"/>
                <w:color w:val="auto"/>
                <w:sz w:val="21"/>
              </w:rPr>
            </w:pPr>
            <w:r>
              <w:rPr>
                <w:rFonts w:ascii="仿宋_GB2312" w:hAnsi="仿宋_GB2312" w:eastAsia="仿宋_GB2312"/>
                <w:color w:val="auto"/>
                <w:sz w:val="21"/>
              </w:rPr>
              <w:t>9</w:t>
            </w:r>
          </w:p>
        </w:tc>
        <w:tc>
          <w:tcPr>
            <w:tcW w:w="5460"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电气装置安装工程低压电器施工及验收规范</w:t>
            </w:r>
          </w:p>
        </w:tc>
        <w:tc>
          <w:tcPr>
            <w:tcW w:w="1676" w:type="dxa"/>
            <w:vAlign w:val="center"/>
          </w:tcPr>
          <w:p>
            <w:pPr>
              <w:pStyle w:val="329"/>
              <w:ind w:left="0" w:leftChars="0"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GB 50254－96</w:t>
            </w:r>
          </w:p>
        </w:tc>
        <w:tc>
          <w:tcPr>
            <w:tcW w:w="624" w:type="dxa"/>
            <w:vAlign w:val="center"/>
          </w:tcPr>
          <w:p>
            <w:pPr>
              <w:pStyle w:val="329"/>
              <w:ind w:left="42" w:right="42" w:firstLine="210" w:firstLineChars="100"/>
              <w:jc w:val="both"/>
              <w:rPr>
                <w:rFonts w:hint="default" w:ascii="仿宋_GB2312" w:hAnsi="仿宋_GB2312" w:eastAsia="仿宋_GB2312"/>
                <w:color w:val="auto"/>
                <w:kern w:val="21"/>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tcMar>
              <w:left w:w="0" w:type="dxa"/>
              <w:right w:w="0" w:type="dxa"/>
            </w:tcMar>
            <w:vAlign w:val="center"/>
          </w:tcPr>
          <w:p>
            <w:pPr>
              <w:pStyle w:val="329"/>
              <w:ind w:left="19" w:leftChars="9" w:right="42"/>
              <w:rPr>
                <w:rFonts w:hint="default" w:ascii="仿宋_GB2312" w:hAnsi="仿宋_GB2312" w:eastAsia="仿宋_GB2312"/>
                <w:color w:val="auto"/>
                <w:sz w:val="21"/>
              </w:rPr>
            </w:pPr>
            <w:r>
              <w:rPr>
                <w:rFonts w:ascii="仿宋_GB2312" w:hAnsi="仿宋_GB2312" w:eastAsia="仿宋_GB2312"/>
                <w:color w:val="auto"/>
                <w:sz w:val="21"/>
              </w:rPr>
              <w:t>10</w:t>
            </w:r>
          </w:p>
        </w:tc>
        <w:tc>
          <w:tcPr>
            <w:tcW w:w="5460"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电气装置安装工程电气照明装置装置施工及验收规范</w:t>
            </w:r>
          </w:p>
        </w:tc>
        <w:tc>
          <w:tcPr>
            <w:tcW w:w="1676" w:type="dxa"/>
            <w:vAlign w:val="center"/>
          </w:tcPr>
          <w:p>
            <w:pPr>
              <w:pStyle w:val="329"/>
              <w:ind w:left="42"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GB 50259－96</w:t>
            </w:r>
          </w:p>
        </w:tc>
        <w:tc>
          <w:tcPr>
            <w:tcW w:w="624" w:type="dxa"/>
            <w:vAlign w:val="center"/>
          </w:tcPr>
          <w:p>
            <w:pPr>
              <w:pStyle w:val="329"/>
              <w:ind w:left="42" w:right="42" w:firstLine="210" w:firstLineChars="100"/>
              <w:jc w:val="both"/>
              <w:rPr>
                <w:rFonts w:hint="default" w:ascii="仿宋_GB2312" w:hAnsi="仿宋_GB2312" w:eastAsia="仿宋_GB2312"/>
                <w:color w:val="auto"/>
                <w:kern w:val="21"/>
                <w:sz w:val="21"/>
              </w:rPr>
            </w:pPr>
          </w:p>
        </w:tc>
      </w:tr>
    </w:tbl>
    <w:p>
      <w:pPr>
        <w:rPr>
          <w:rFonts w:ascii="仿宋_GB2312" w:hAnsi="仿宋_GB2312" w:eastAsia="仿宋_GB2312"/>
        </w:rPr>
      </w:pPr>
      <w:bookmarkStart w:id="17" w:name="_Toc320025547"/>
    </w:p>
    <w:bookmarkEnd w:id="17"/>
    <w:p>
      <w:pPr>
        <w:jc w:val="center"/>
        <w:rPr>
          <w:rFonts w:ascii="仿宋_GB2312" w:hAnsi="仿宋_GB2312" w:eastAsia="仿宋_GB2312"/>
          <w:b/>
        </w:rPr>
      </w:pPr>
      <w:r>
        <w:rPr>
          <w:rFonts w:hint="eastAsia" w:ascii="仿宋_GB2312" w:hAnsi="仿宋_GB2312" w:eastAsia="仿宋_GB2312"/>
          <w:b/>
        </w:rPr>
        <w:t>表二：开关柜现行国家标准、行业标准、国家电网公司标准</w:t>
      </w:r>
    </w:p>
    <w:tbl>
      <w:tblPr>
        <w:tblStyle w:val="49"/>
        <w:tblW w:w="84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4803"/>
        <w:gridCol w:w="2191"/>
        <w:gridCol w:w="6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7" w:type="dxa"/>
            <w:tcBorders>
              <w:top w:val="single" w:color="auto" w:sz="12" w:space="0"/>
            </w:tcBorders>
            <w:tcMar>
              <w:left w:w="0" w:type="dxa"/>
              <w:right w:w="0" w:type="dxa"/>
            </w:tcMar>
            <w:vAlign w:val="center"/>
          </w:tcPr>
          <w:p>
            <w:pPr>
              <w:ind w:left="-63" w:leftChars="-30" w:right="-63" w:rightChars="-30"/>
              <w:jc w:val="center"/>
              <w:rPr>
                <w:rFonts w:ascii="仿宋_GB2312" w:hAnsi="仿宋_GB2312" w:eastAsia="仿宋_GB2312"/>
                <w:b/>
              </w:rPr>
            </w:pPr>
            <w:r>
              <w:rPr>
                <w:rFonts w:hint="eastAsia" w:ascii="仿宋_GB2312" w:hAnsi="仿宋_GB2312" w:eastAsia="仿宋_GB2312"/>
                <w:b/>
              </w:rPr>
              <w:t>编号</w:t>
            </w:r>
          </w:p>
        </w:tc>
        <w:tc>
          <w:tcPr>
            <w:tcW w:w="4803" w:type="dxa"/>
            <w:tcBorders>
              <w:top w:val="single" w:color="auto" w:sz="12" w:space="0"/>
            </w:tcBorders>
            <w:tcMar>
              <w:left w:w="0" w:type="dxa"/>
              <w:right w:w="0" w:type="dxa"/>
            </w:tcMar>
            <w:vAlign w:val="center"/>
          </w:tcPr>
          <w:p>
            <w:pPr>
              <w:ind w:left="-63" w:leftChars="-30" w:right="-63" w:rightChars="-30"/>
              <w:jc w:val="center"/>
              <w:rPr>
                <w:rFonts w:ascii="仿宋_GB2312" w:hAnsi="仿宋_GB2312" w:eastAsia="仿宋_GB2312"/>
                <w:b/>
              </w:rPr>
            </w:pPr>
            <w:r>
              <w:rPr>
                <w:rFonts w:hint="eastAsia" w:ascii="仿宋_GB2312" w:hAnsi="仿宋_GB2312" w:eastAsia="仿宋_GB2312"/>
                <w:b/>
              </w:rPr>
              <w:t>标准名称</w:t>
            </w:r>
          </w:p>
        </w:tc>
        <w:tc>
          <w:tcPr>
            <w:tcW w:w="2191" w:type="dxa"/>
            <w:tcBorders>
              <w:top w:val="single" w:color="auto" w:sz="12" w:space="0"/>
            </w:tcBorders>
            <w:vAlign w:val="center"/>
          </w:tcPr>
          <w:p>
            <w:pPr>
              <w:ind w:left="-63" w:leftChars="-30" w:right="-63" w:rightChars="-30"/>
              <w:jc w:val="center"/>
              <w:rPr>
                <w:rFonts w:ascii="仿宋_GB2312" w:hAnsi="仿宋_GB2312" w:eastAsia="仿宋_GB2312"/>
                <w:b/>
              </w:rPr>
            </w:pPr>
            <w:r>
              <w:rPr>
                <w:rFonts w:hint="eastAsia" w:ascii="仿宋_GB2312" w:hAnsi="仿宋_GB2312" w:eastAsia="仿宋_GB2312"/>
                <w:b/>
              </w:rPr>
              <w:t>标准号</w:t>
            </w:r>
          </w:p>
        </w:tc>
        <w:tc>
          <w:tcPr>
            <w:tcW w:w="624" w:type="dxa"/>
            <w:tcBorders>
              <w:top w:val="single" w:color="auto" w:sz="12" w:space="0"/>
            </w:tcBorders>
          </w:tcPr>
          <w:p>
            <w:pPr>
              <w:ind w:left="-63" w:leftChars="-30" w:right="-63" w:rightChars="-30"/>
              <w:jc w:val="center"/>
              <w:rPr>
                <w:rFonts w:ascii="仿宋_GB2312" w:hAnsi="仿宋_GB2312" w:eastAsia="仿宋_GB2312"/>
                <w:kern w:val="21"/>
              </w:rPr>
            </w:pPr>
            <w:r>
              <w:rPr>
                <w:rFonts w:hint="eastAsia" w:ascii="仿宋_GB2312" w:hAnsi="仿宋_GB2312" w:eastAsia="仿宋_GB2312"/>
                <w:b/>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tcMar>
              <w:left w:w="0" w:type="dxa"/>
              <w:right w:w="0" w:type="dxa"/>
            </w:tcMar>
            <w:vAlign w:val="center"/>
          </w:tcPr>
          <w:p>
            <w:pPr>
              <w:pStyle w:val="329"/>
              <w:ind w:left="42" w:right="42"/>
              <w:rPr>
                <w:rFonts w:hint="default" w:ascii="仿宋_GB2312" w:hAnsi="仿宋_GB2312" w:eastAsia="仿宋_GB2312"/>
                <w:color w:val="auto"/>
                <w:sz w:val="21"/>
              </w:rPr>
            </w:pPr>
            <w:r>
              <w:rPr>
                <w:rFonts w:ascii="仿宋_GB2312" w:hAnsi="仿宋_GB2312" w:eastAsia="仿宋_GB2312"/>
                <w:color w:val="auto"/>
                <w:sz w:val="21"/>
              </w:rPr>
              <w:t>1</w:t>
            </w:r>
          </w:p>
        </w:tc>
        <w:tc>
          <w:tcPr>
            <w:tcW w:w="4803" w:type="dxa"/>
            <w:tcMar>
              <w:left w:w="0" w:type="dxa"/>
              <w:right w:w="0" w:type="dxa"/>
            </w:tcMar>
            <w:vAlign w:val="center"/>
          </w:tcPr>
          <w:p>
            <w:pPr>
              <w:pStyle w:val="329"/>
              <w:ind w:left="42"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电力开关柜应用导则</w:t>
            </w:r>
          </w:p>
        </w:tc>
        <w:tc>
          <w:tcPr>
            <w:tcW w:w="2191" w:type="dxa"/>
            <w:vAlign w:val="center"/>
          </w:tcPr>
          <w:p>
            <w:pPr>
              <w:pStyle w:val="329"/>
              <w:ind w:left="42"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GB/T 13499-2002</w:t>
            </w:r>
          </w:p>
        </w:tc>
        <w:tc>
          <w:tcPr>
            <w:tcW w:w="624" w:type="dxa"/>
            <w:vAlign w:val="center"/>
          </w:tcPr>
          <w:p>
            <w:pPr>
              <w:spacing w:before="31" w:beforeLines="10" w:after="31" w:afterLines="10"/>
              <w:ind w:left="-63" w:leftChars="-30" w:right="-63" w:rightChars="-30"/>
              <w:rPr>
                <w:rFonts w:ascii="仿宋_GB2312" w:hAns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tcMar>
              <w:left w:w="0" w:type="dxa"/>
              <w:right w:w="0" w:type="dxa"/>
            </w:tcMar>
            <w:vAlign w:val="center"/>
          </w:tcPr>
          <w:p>
            <w:pPr>
              <w:pStyle w:val="329"/>
              <w:ind w:left="42" w:right="42"/>
              <w:rPr>
                <w:rFonts w:hint="default" w:ascii="仿宋_GB2312" w:hAnsi="仿宋_GB2312" w:eastAsia="仿宋_GB2312"/>
                <w:color w:val="auto"/>
                <w:sz w:val="21"/>
              </w:rPr>
            </w:pPr>
            <w:r>
              <w:rPr>
                <w:rFonts w:ascii="仿宋_GB2312" w:hAnsi="仿宋_GB2312" w:eastAsia="仿宋_GB2312"/>
                <w:color w:val="auto"/>
                <w:sz w:val="21"/>
              </w:rPr>
              <w:t>2</w:t>
            </w:r>
          </w:p>
        </w:tc>
        <w:tc>
          <w:tcPr>
            <w:tcW w:w="4803"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电力开关柜运行规程</w:t>
            </w:r>
          </w:p>
        </w:tc>
        <w:tc>
          <w:tcPr>
            <w:tcW w:w="2191" w:type="dxa"/>
            <w:vAlign w:val="center"/>
          </w:tcPr>
          <w:p>
            <w:pPr>
              <w:pStyle w:val="329"/>
              <w:ind w:left="42" w:right="42"/>
              <w:jc w:val="both"/>
              <w:rPr>
                <w:rFonts w:hint="default" w:ascii="仿宋_GB2312" w:hAnsi="仿宋_GB2312" w:eastAsia="仿宋_GB2312"/>
                <w:color w:val="auto"/>
                <w:kern w:val="21"/>
                <w:sz w:val="21"/>
              </w:rPr>
            </w:pPr>
            <w:r>
              <w:rPr>
                <w:rFonts w:ascii="仿宋_GB2312" w:hAnsi="仿宋_GB2312" w:eastAsia="仿宋_GB2312"/>
                <w:color w:val="auto"/>
                <w:kern w:val="21"/>
                <w:sz w:val="21"/>
              </w:rPr>
              <w:t>DL/T 572-2010</w:t>
            </w:r>
          </w:p>
        </w:tc>
        <w:tc>
          <w:tcPr>
            <w:tcW w:w="624" w:type="dxa"/>
            <w:vAlign w:val="center"/>
          </w:tcPr>
          <w:p>
            <w:pPr>
              <w:pStyle w:val="329"/>
              <w:ind w:left="42" w:right="42" w:firstLine="210" w:firstLineChars="100"/>
              <w:jc w:val="both"/>
              <w:rPr>
                <w:rFonts w:hint="default" w:ascii="仿宋_GB2312" w:hAnsi="仿宋_GB2312" w:eastAsia="仿宋_GB2312"/>
                <w:color w:val="auto"/>
                <w:kern w:val="21"/>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tcMar>
              <w:left w:w="0" w:type="dxa"/>
              <w:right w:w="0" w:type="dxa"/>
            </w:tcMar>
            <w:vAlign w:val="center"/>
          </w:tcPr>
          <w:p>
            <w:pPr>
              <w:pStyle w:val="329"/>
              <w:ind w:left="42" w:right="42"/>
              <w:rPr>
                <w:rFonts w:hint="default" w:ascii="仿宋_GB2312" w:hAnsi="仿宋_GB2312" w:eastAsia="仿宋_GB2312"/>
                <w:color w:val="auto"/>
                <w:sz w:val="21"/>
              </w:rPr>
            </w:pPr>
            <w:r>
              <w:rPr>
                <w:rFonts w:ascii="仿宋_GB2312" w:hAnsi="仿宋_GB2312" w:eastAsia="仿宋_GB2312"/>
                <w:color w:val="auto"/>
                <w:sz w:val="21"/>
              </w:rPr>
              <w:t>3</w:t>
            </w:r>
          </w:p>
        </w:tc>
        <w:tc>
          <w:tcPr>
            <w:tcW w:w="4803"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开关柜运行维修导则</w:t>
            </w:r>
          </w:p>
        </w:tc>
        <w:tc>
          <w:tcPr>
            <w:tcW w:w="2191" w:type="dxa"/>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kern w:val="21"/>
                <w:sz w:val="21"/>
              </w:rPr>
              <w:t>DL/T 574-2010</w:t>
            </w:r>
          </w:p>
        </w:tc>
        <w:tc>
          <w:tcPr>
            <w:tcW w:w="624" w:type="dxa"/>
            <w:vAlign w:val="center"/>
          </w:tcPr>
          <w:p>
            <w:pPr>
              <w:pStyle w:val="329"/>
              <w:ind w:left="42" w:right="42" w:firstLine="210" w:firstLineChars="100"/>
              <w:jc w:val="both"/>
              <w:rPr>
                <w:rFonts w:hint="default" w:ascii="仿宋_GB2312" w:hAnsi="仿宋_GB2312" w:eastAsia="仿宋_GB2312"/>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tcMar>
              <w:left w:w="0" w:type="dxa"/>
              <w:right w:w="0" w:type="dxa"/>
            </w:tcMar>
            <w:vAlign w:val="center"/>
          </w:tcPr>
          <w:p>
            <w:pPr>
              <w:pStyle w:val="329"/>
              <w:ind w:left="42" w:right="42"/>
              <w:rPr>
                <w:rFonts w:hint="default" w:ascii="仿宋_GB2312" w:hAnsi="仿宋_GB2312" w:eastAsia="仿宋_GB2312"/>
                <w:color w:val="auto"/>
                <w:sz w:val="21"/>
              </w:rPr>
            </w:pPr>
            <w:r>
              <w:rPr>
                <w:rFonts w:ascii="仿宋_GB2312" w:hAnsi="仿宋_GB2312" w:eastAsia="仿宋_GB2312"/>
                <w:color w:val="auto"/>
                <w:sz w:val="21"/>
              </w:rPr>
              <w:t>4</w:t>
            </w:r>
          </w:p>
        </w:tc>
        <w:tc>
          <w:tcPr>
            <w:tcW w:w="4803"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电力开关柜检修导则</w:t>
            </w:r>
          </w:p>
        </w:tc>
        <w:tc>
          <w:tcPr>
            <w:tcW w:w="2191" w:type="dxa"/>
            <w:vAlign w:val="center"/>
          </w:tcPr>
          <w:p>
            <w:pPr>
              <w:pStyle w:val="329"/>
              <w:ind w:left="0" w:leftChars="0" w:right="42"/>
              <w:jc w:val="both"/>
              <w:rPr>
                <w:rFonts w:hint="default" w:ascii="仿宋_GB2312" w:hAnsi="仿宋_GB2312" w:eastAsia="仿宋_GB2312"/>
                <w:color w:val="auto"/>
                <w:sz w:val="21"/>
              </w:rPr>
            </w:pPr>
            <w:r>
              <w:rPr>
                <w:rFonts w:ascii="仿宋_GB2312" w:hAnsi="仿宋_GB2312" w:eastAsia="仿宋_GB2312"/>
                <w:color w:val="auto"/>
                <w:kern w:val="21"/>
                <w:sz w:val="21"/>
              </w:rPr>
              <w:t>DL/T 573-2010</w:t>
            </w:r>
          </w:p>
        </w:tc>
        <w:tc>
          <w:tcPr>
            <w:tcW w:w="624" w:type="dxa"/>
            <w:vAlign w:val="center"/>
          </w:tcPr>
          <w:p>
            <w:pPr>
              <w:pStyle w:val="329"/>
              <w:ind w:left="42" w:right="42" w:firstLine="210" w:firstLineChars="100"/>
              <w:jc w:val="both"/>
              <w:rPr>
                <w:rFonts w:hint="default" w:ascii="仿宋_GB2312" w:hAnsi="仿宋_GB2312" w:eastAsia="仿宋_GB2312"/>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tcMar>
              <w:left w:w="0" w:type="dxa"/>
              <w:right w:w="0" w:type="dxa"/>
            </w:tcMar>
            <w:vAlign w:val="center"/>
          </w:tcPr>
          <w:p>
            <w:pPr>
              <w:pStyle w:val="329"/>
              <w:ind w:left="42" w:right="42"/>
              <w:rPr>
                <w:rFonts w:hint="default" w:ascii="仿宋_GB2312" w:hAnsi="仿宋_GB2312" w:eastAsia="仿宋_GB2312"/>
                <w:color w:val="auto"/>
                <w:sz w:val="21"/>
              </w:rPr>
            </w:pPr>
            <w:r>
              <w:rPr>
                <w:rFonts w:ascii="仿宋_GB2312" w:hAnsi="仿宋_GB2312" w:eastAsia="仿宋_GB2312"/>
                <w:color w:val="auto"/>
                <w:sz w:val="21"/>
              </w:rPr>
              <w:t>5</w:t>
            </w:r>
          </w:p>
        </w:tc>
        <w:tc>
          <w:tcPr>
            <w:tcW w:w="4803"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电力开关柜检测判断导则</w:t>
            </w:r>
          </w:p>
        </w:tc>
        <w:tc>
          <w:tcPr>
            <w:tcW w:w="2191" w:type="dxa"/>
            <w:vAlign w:val="center"/>
          </w:tcPr>
          <w:p>
            <w:pPr>
              <w:pStyle w:val="329"/>
              <w:ind w:left="0" w:leftChars="0" w:right="42"/>
              <w:jc w:val="both"/>
              <w:rPr>
                <w:rFonts w:hint="default" w:ascii="仿宋_GB2312" w:hAnsi="仿宋_GB2312" w:eastAsia="仿宋_GB2312"/>
                <w:color w:val="auto"/>
                <w:sz w:val="21"/>
              </w:rPr>
            </w:pPr>
            <w:r>
              <w:rPr>
                <w:rFonts w:ascii="仿宋_GB2312" w:hAnsi="仿宋_GB2312" w:eastAsia="仿宋_GB2312"/>
                <w:color w:val="auto"/>
                <w:sz w:val="21"/>
              </w:rPr>
              <w:t>DL/T 1093-2008</w:t>
            </w:r>
          </w:p>
        </w:tc>
        <w:tc>
          <w:tcPr>
            <w:tcW w:w="624" w:type="dxa"/>
            <w:vAlign w:val="center"/>
          </w:tcPr>
          <w:p>
            <w:pPr>
              <w:pStyle w:val="329"/>
              <w:ind w:left="42" w:right="42" w:firstLine="210" w:firstLineChars="100"/>
              <w:jc w:val="both"/>
              <w:rPr>
                <w:rFonts w:hint="default" w:ascii="仿宋_GB2312" w:hAnsi="仿宋_GB2312" w:eastAsia="仿宋_GB2312"/>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tcMar>
              <w:left w:w="0" w:type="dxa"/>
              <w:right w:w="0" w:type="dxa"/>
            </w:tcMar>
            <w:vAlign w:val="center"/>
          </w:tcPr>
          <w:p>
            <w:pPr>
              <w:pStyle w:val="329"/>
              <w:ind w:left="42" w:right="42"/>
              <w:rPr>
                <w:rFonts w:hint="default" w:ascii="仿宋_GB2312" w:hAnsi="仿宋_GB2312" w:eastAsia="仿宋_GB2312"/>
                <w:color w:val="auto"/>
                <w:sz w:val="21"/>
              </w:rPr>
            </w:pPr>
            <w:r>
              <w:rPr>
                <w:rFonts w:ascii="仿宋_GB2312" w:hAnsi="仿宋_GB2312" w:eastAsia="仿宋_GB2312"/>
                <w:color w:val="auto"/>
                <w:sz w:val="21"/>
              </w:rPr>
              <w:t>6</w:t>
            </w:r>
          </w:p>
        </w:tc>
        <w:tc>
          <w:tcPr>
            <w:tcW w:w="4803"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输变电设备状态检修试验规程</w:t>
            </w:r>
          </w:p>
        </w:tc>
        <w:tc>
          <w:tcPr>
            <w:tcW w:w="2191" w:type="dxa"/>
            <w:vAlign w:val="center"/>
          </w:tcPr>
          <w:p>
            <w:pPr>
              <w:pStyle w:val="329"/>
              <w:ind w:left="0" w:leftChars="0" w:right="42"/>
              <w:jc w:val="both"/>
              <w:rPr>
                <w:rFonts w:hint="default" w:ascii="仿宋_GB2312" w:hAnsi="仿宋_GB2312" w:eastAsia="仿宋_GB2312"/>
                <w:color w:val="auto"/>
                <w:kern w:val="21"/>
                <w:sz w:val="21"/>
              </w:rPr>
            </w:pPr>
            <w:r>
              <w:rPr>
                <w:rFonts w:ascii="仿宋_GB2312" w:hAnsi="仿宋_GB2312" w:eastAsia="仿宋_GB2312"/>
                <w:color w:val="auto"/>
                <w:sz w:val="21"/>
              </w:rPr>
              <w:t>Q/GDW 1168—2013</w:t>
            </w:r>
          </w:p>
        </w:tc>
        <w:tc>
          <w:tcPr>
            <w:tcW w:w="624" w:type="dxa"/>
            <w:vAlign w:val="center"/>
          </w:tcPr>
          <w:p>
            <w:pPr>
              <w:pStyle w:val="329"/>
              <w:ind w:left="42" w:right="42" w:firstLine="210" w:firstLineChars="100"/>
              <w:jc w:val="both"/>
              <w:rPr>
                <w:rFonts w:hint="default" w:ascii="仿宋_GB2312" w:hAnsi="仿宋_GB2312" w:eastAsia="仿宋_GB2312"/>
                <w:color w:val="auto"/>
                <w:kern w:val="21"/>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dxa"/>
            <w:tcMar>
              <w:left w:w="0" w:type="dxa"/>
              <w:right w:w="0" w:type="dxa"/>
            </w:tcMar>
            <w:vAlign w:val="center"/>
          </w:tcPr>
          <w:p>
            <w:pPr>
              <w:pStyle w:val="329"/>
              <w:ind w:left="0" w:leftChars="0" w:right="42"/>
              <w:rPr>
                <w:rFonts w:hint="default" w:ascii="仿宋_GB2312" w:hAnsi="仿宋_GB2312" w:eastAsia="仿宋_GB2312"/>
                <w:color w:val="auto"/>
                <w:sz w:val="21"/>
              </w:rPr>
            </w:pPr>
            <w:r>
              <w:rPr>
                <w:rFonts w:ascii="仿宋_GB2312" w:hAnsi="仿宋_GB2312" w:eastAsia="仿宋_GB2312"/>
                <w:color w:val="auto"/>
                <w:sz w:val="21"/>
              </w:rPr>
              <w:t>7</w:t>
            </w:r>
          </w:p>
        </w:tc>
        <w:tc>
          <w:tcPr>
            <w:tcW w:w="4803" w:type="dxa"/>
            <w:tcMar>
              <w:left w:w="0" w:type="dxa"/>
              <w:right w:w="0" w:type="dxa"/>
            </w:tcMar>
            <w:vAlign w:val="center"/>
          </w:tcPr>
          <w:p>
            <w:pPr>
              <w:pStyle w:val="329"/>
              <w:ind w:left="42" w:right="42"/>
              <w:jc w:val="both"/>
              <w:rPr>
                <w:rFonts w:hint="default" w:ascii="仿宋_GB2312" w:hAnsi="仿宋_GB2312" w:eastAsia="仿宋_GB2312"/>
                <w:color w:val="auto"/>
                <w:sz w:val="21"/>
              </w:rPr>
            </w:pPr>
            <w:r>
              <w:rPr>
                <w:rFonts w:ascii="仿宋_GB2312" w:hAnsi="仿宋_GB2312" w:eastAsia="仿宋_GB2312"/>
                <w:color w:val="auto"/>
                <w:sz w:val="21"/>
              </w:rPr>
              <w:t>国家电网公司十八项电网重大反事故措施（修订版）</w:t>
            </w:r>
          </w:p>
        </w:tc>
        <w:tc>
          <w:tcPr>
            <w:tcW w:w="2191" w:type="dxa"/>
            <w:vAlign w:val="center"/>
          </w:tcPr>
          <w:p>
            <w:pPr>
              <w:pStyle w:val="329"/>
              <w:ind w:left="0" w:leftChars="0" w:right="42"/>
              <w:jc w:val="both"/>
              <w:rPr>
                <w:rFonts w:hint="default" w:ascii="仿宋_GB2312" w:hAnsi="仿宋_GB2312" w:eastAsia="仿宋_GB2312"/>
                <w:color w:val="auto"/>
                <w:kern w:val="21"/>
                <w:sz w:val="21"/>
              </w:rPr>
            </w:pPr>
            <w:r>
              <w:rPr>
                <w:rFonts w:ascii="仿宋_GB2312" w:hAnsi="仿宋_GB2312" w:eastAsia="仿宋_GB2312"/>
                <w:color w:val="auto"/>
                <w:sz w:val="21"/>
              </w:rPr>
              <w:t>国家电网生〔2012〕352号</w:t>
            </w:r>
          </w:p>
        </w:tc>
        <w:tc>
          <w:tcPr>
            <w:tcW w:w="624" w:type="dxa"/>
            <w:vAlign w:val="center"/>
          </w:tcPr>
          <w:p>
            <w:pPr>
              <w:pStyle w:val="329"/>
              <w:ind w:left="42" w:right="42" w:firstLine="210" w:firstLineChars="100"/>
              <w:jc w:val="both"/>
              <w:rPr>
                <w:rFonts w:hint="default" w:ascii="仿宋_GB2312" w:hAnsi="仿宋_GB2312" w:eastAsia="仿宋_GB2312"/>
                <w:color w:val="auto"/>
                <w:kern w:val="21"/>
                <w:sz w:val="21"/>
              </w:rPr>
            </w:pPr>
          </w:p>
        </w:tc>
      </w:tr>
    </w:tbl>
    <w:p>
      <w:pPr>
        <w:spacing w:line="400" w:lineRule="exact"/>
        <w:rPr>
          <w:sz w:val="24"/>
          <w:szCs w:val="24"/>
        </w:rPr>
      </w:pPr>
    </w:p>
    <w:p>
      <w:pPr>
        <w:spacing w:line="400" w:lineRule="exact"/>
        <w:rPr>
          <w:b/>
          <w:bCs/>
          <w:sz w:val="24"/>
          <w:szCs w:val="24"/>
          <w:u w:val="single"/>
        </w:rPr>
      </w:pPr>
      <w:r>
        <w:rPr>
          <w:rFonts w:hint="eastAsia"/>
          <w:b/>
          <w:bCs/>
          <w:sz w:val="24"/>
          <w:szCs w:val="24"/>
          <w:u w:val="single"/>
        </w:rPr>
        <w:t>应答：完全响应，并严格遵照执行。项目执行团队承诺，将严格遵从上述(并不限于</w:t>
      </w:r>
      <w:r>
        <w:rPr>
          <w:b/>
          <w:bCs/>
          <w:sz w:val="24"/>
          <w:szCs w:val="24"/>
          <w:u w:val="single"/>
        </w:rPr>
        <w:t>)</w:t>
      </w:r>
      <w:r>
        <w:rPr>
          <w:rFonts w:hint="eastAsia"/>
          <w:b/>
          <w:bCs/>
          <w:sz w:val="24"/>
          <w:szCs w:val="24"/>
          <w:u w:val="single"/>
        </w:rPr>
        <w:t>变电站电气安装工程现行主要质量标准、规范，以及表中所列国标、行标、企标等导则、规程，进行此次大电流开关柜散热（除湿）装置控制器控制技术升级改造及维护技术服务。</w:t>
      </w:r>
    </w:p>
    <w:p>
      <w:pPr>
        <w:spacing w:line="400" w:lineRule="exact"/>
        <w:rPr>
          <w:sz w:val="24"/>
          <w:szCs w:val="24"/>
        </w:rPr>
      </w:pPr>
    </w:p>
    <w:p>
      <w:pPr>
        <w:spacing w:before="156" w:beforeLines="50" w:after="156" w:afterLines="50" w:line="400" w:lineRule="exact"/>
        <w:rPr>
          <w:b/>
          <w:bCs/>
          <w:sz w:val="24"/>
          <w:szCs w:val="24"/>
          <w:u w:val="single"/>
        </w:rPr>
      </w:pPr>
      <w:r>
        <w:rPr>
          <w:rFonts w:hint="eastAsia"/>
          <w:b/>
          <w:bCs/>
          <w:sz w:val="24"/>
          <w:szCs w:val="24"/>
          <w:u w:val="single"/>
        </w:rPr>
        <w:t>2）对发包人要求的应答</w:t>
      </w:r>
    </w:p>
    <w:p>
      <w:pPr>
        <w:spacing w:line="400" w:lineRule="exact"/>
        <w:rPr>
          <w:sz w:val="24"/>
          <w:szCs w:val="24"/>
        </w:rPr>
      </w:pPr>
      <w:r>
        <w:rPr>
          <w:sz w:val="24"/>
          <w:szCs w:val="24"/>
        </w:rPr>
        <w:t>1、总体目标：必须保证提供的维修服务能确保设备的安全可靠运行，符合生产运行、安全、保卫等国家法律和企业规定相关的质量要求。</w:t>
      </w:r>
    </w:p>
    <w:p>
      <w:pPr>
        <w:spacing w:line="400" w:lineRule="exact"/>
        <w:rPr>
          <w:b/>
          <w:bCs/>
          <w:sz w:val="24"/>
          <w:szCs w:val="24"/>
          <w:u w:val="single"/>
        </w:rPr>
      </w:pPr>
      <w:r>
        <w:rPr>
          <w:rFonts w:hint="eastAsia"/>
          <w:b/>
          <w:bCs/>
          <w:sz w:val="24"/>
          <w:szCs w:val="24"/>
          <w:u w:val="single"/>
        </w:rPr>
        <w:t>应答：充分理解并完全响应项目总体目标要求</w:t>
      </w:r>
    </w:p>
    <w:p>
      <w:pPr>
        <w:spacing w:line="400" w:lineRule="exact"/>
        <w:rPr>
          <w:sz w:val="24"/>
          <w:szCs w:val="24"/>
        </w:rPr>
      </w:pPr>
    </w:p>
    <w:p>
      <w:pPr>
        <w:spacing w:line="400" w:lineRule="exact"/>
        <w:rPr>
          <w:sz w:val="24"/>
          <w:szCs w:val="24"/>
        </w:rPr>
      </w:pPr>
      <w:r>
        <w:rPr>
          <w:sz w:val="24"/>
          <w:szCs w:val="24"/>
        </w:rPr>
        <w:t>1.1、要求中标方在合同签订之日起10个工作日内，制定大电流开关柜散热（除湿）装置控制智能化维修与升级方案并模拟现场条件自行组装试验样机，交由甲方进行初步验收。</w:t>
      </w:r>
    </w:p>
    <w:p>
      <w:pPr>
        <w:spacing w:line="400" w:lineRule="exact"/>
        <w:rPr>
          <w:b/>
          <w:bCs/>
          <w:sz w:val="24"/>
          <w:szCs w:val="24"/>
          <w:u w:val="single"/>
        </w:rPr>
      </w:pPr>
      <w:r>
        <w:rPr>
          <w:rFonts w:hint="eastAsia"/>
          <w:b/>
          <w:bCs/>
          <w:sz w:val="24"/>
          <w:szCs w:val="24"/>
          <w:u w:val="single"/>
        </w:rPr>
        <w:t>应答：充分理解并完全响应项目时限要求，承诺在合同签订后10个工作日内交付所要求方案与样机，交由甲方初步验收。</w:t>
      </w:r>
    </w:p>
    <w:p>
      <w:pPr>
        <w:spacing w:line="400" w:lineRule="exact"/>
        <w:rPr>
          <w:sz w:val="24"/>
          <w:szCs w:val="24"/>
        </w:rPr>
      </w:pPr>
    </w:p>
    <w:p>
      <w:pPr>
        <w:spacing w:line="400" w:lineRule="exact"/>
        <w:rPr>
          <w:sz w:val="24"/>
          <w:szCs w:val="24"/>
        </w:rPr>
      </w:pPr>
      <w:r>
        <w:rPr>
          <w:sz w:val="24"/>
          <w:szCs w:val="24"/>
        </w:rPr>
        <w:t>1.2、若中标方无法按要求执行该合同，需支付合同金额5-10%作为违约金，并进入甲方不良供应商清单3年。</w:t>
      </w:r>
    </w:p>
    <w:p>
      <w:pPr>
        <w:spacing w:line="400" w:lineRule="exact"/>
        <w:rPr>
          <w:b/>
          <w:bCs/>
          <w:sz w:val="24"/>
          <w:szCs w:val="24"/>
          <w:u w:val="single"/>
        </w:rPr>
      </w:pPr>
      <w:r>
        <w:rPr>
          <w:rFonts w:hint="eastAsia"/>
          <w:b/>
          <w:bCs/>
          <w:sz w:val="24"/>
          <w:szCs w:val="24"/>
          <w:u w:val="single"/>
        </w:rPr>
        <w:t>应答：充分理解并完全响应，承诺按发包人要求执行合同。</w:t>
      </w:r>
    </w:p>
    <w:p>
      <w:pPr>
        <w:spacing w:line="400" w:lineRule="exact"/>
        <w:rPr>
          <w:sz w:val="24"/>
          <w:szCs w:val="24"/>
        </w:rPr>
      </w:pPr>
    </w:p>
    <w:p>
      <w:pPr>
        <w:spacing w:line="400" w:lineRule="exact"/>
        <w:rPr>
          <w:sz w:val="24"/>
          <w:szCs w:val="24"/>
        </w:rPr>
      </w:pPr>
      <w:r>
        <w:rPr>
          <w:sz w:val="24"/>
          <w:szCs w:val="24"/>
        </w:rPr>
        <w:t>2、技术要求</w:t>
      </w:r>
    </w:p>
    <w:p>
      <w:pPr>
        <w:spacing w:line="400" w:lineRule="exact"/>
        <w:rPr>
          <w:sz w:val="24"/>
          <w:szCs w:val="24"/>
        </w:rPr>
      </w:pPr>
      <w:r>
        <w:rPr>
          <w:sz w:val="24"/>
          <w:szCs w:val="24"/>
        </w:rPr>
        <w:t>2.1安全要求：不发生轻伤及人身事故，不发生机械、设备、火灾事故和同等及以上责任交通事故以及环境影响事件，并达到发包人提出的现场安全文明施工要求。</w:t>
      </w:r>
    </w:p>
    <w:p>
      <w:pPr>
        <w:spacing w:line="400" w:lineRule="exact"/>
        <w:rPr>
          <w:b/>
          <w:bCs/>
          <w:sz w:val="24"/>
          <w:szCs w:val="24"/>
          <w:u w:val="single"/>
        </w:rPr>
      </w:pPr>
      <w:r>
        <w:rPr>
          <w:rFonts w:hint="eastAsia"/>
          <w:b/>
          <w:bCs/>
          <w:sz w:val="24"/>
          <w:szCs w:val="24"/>
          <w:u w:val="single"/>
        </w:rPr>
        <w:t>应答：充分理解并完全响应，承诺严格遵照安全要求进行技术服务。</w:t>
      </w:r>
    </w:p>
    <w:p>
      <w:pPr>
        <w:spacing w:line="400" w:lineRule="exact"/>
        <w:rPr>
          <w:sz w:val="24"/>
          <w:szCs w:val="24"/>
        </w:rPr>
      </w:pPr>
    </w:p>
    <w:p>
      <w:pPr>
        <w:spacing w:line="400" w:lineRule="exact"/>
        <w:rPr>
          <w:sz w:val="24"/>
          <w:szCs w:val="24"/>
        </w:rPr>
      </w:pPr>
      <w:r>
        <w:rPr>
          <w:sz w:val="24"/>
          <w:szCs w:val="24"/>
        </w:rPr>
        <w:t>2.2管理要求：必须保证出现现场维护任务时，务必能提供专业技术人员到场。提供的服务能确保设备的安全可靠运行，符合生产运行、安全等国家法律和国家电网规定相关的质量要求；承包人若在履行职责和义务时发生的任何问题将承担全部责任。</w:t>
      </w:r>
    </w:p>
    <w:p>
      <w:pPr>
        <w:spacing w:line="400" w:lineRule="exact"/>
        <w:rPr>
          <w:b/>
          <w:bCs/>
          <w:sz w:val="24"/>
          <w:szCs w:val="24"/>
          <w:u w:val="single"/>
        </w:rPr>
      </w:pPr>
      <w:r>
        <w:rPr>
          <w:rFonts w:hint="eastAsia"/>
          <w:b/>
          <w:bCs/>
          <w:sz w:val="24"/>
          <w:szCs w:val="24"/>
          <w:u w:val="single"/>
        </w:rPr>
        <w:t>应答：充分理解并完全响应，承诺严格遵照发包人管理要求进行技术改造与维护服务。</w:t>
      </w:r>
    </w:p>
    <w:p>
      <w:pPr>
        <w:spacing w:line="400" w:lineRule="exact"/>
        <w:rPr>
          <w:sz w:val="24"/>
          <w:szCs w:val="24"/>
        </w:rPr>
      </w:pPr>
    </w:p>
    <w:p>
      <w:pPr>
        <w:spacing w:line="400" w:lineRule="exact"/>
        <w:rPr>
          <w:sz w:val="24"/>
          <w:szCs w:val="24"/>
        </w:rPr>
      </w:pPr>
      <w:r>
        <w:rPr>
          <w:sz w:val="24"/>
          <w:szCs w:val="24"/>
        </w:rPr>
        <w:t>2.3工艺要求：“标准工艺”应用率100％，项目“零缺陷”投运。项目使用寿命满足公司质量要求。不发生因项目建设原因造成的六级及以上项目质量事件,且维护后设备使用寿命满足公司质量要求。</w:t>
      </w:r>
    </w:p>
    <w:p>
      <w:pPr>
        <w:spacing w:line="400" w:lineRule="exact"/>
        <w:rPr>
          <w:b/>
          <w:bCs/>
          <w:sz w:val="24"/>
          <w:szCs w:val="24"/>
          <w:u w:val="single"/>
        </w:rPr>
      </w:pPr>
      <w:r>
        <w:rPr>
          <w:rFonts w:hint="eastAsia"/>
          <w:b/>
          <w:bCs/>
          <w:sz w:val="24"/>
          <w:szCs w:val="24"/>
          <w:u w:val="single"/>
        </w:rPr>
        <w:t>应答：充分理解并完全响应，承诺严格遵照发包人工艺要求，严格管控升级改造与技术服务品质，坚决杜绝项目质量事件，确保质量要求。</w:t>
      </w:r>
    </w:p>
    <w:p>
      <w:pPr>
        <w:spacing w:line="400" w:lineRule="exact"/>
        <w:rPr>
          <w:b/>
          <w:bCs/>
          <w:sz w:val="24"/>
          <w:szCs w:val="24"/>
          <w:u w:val="single"/>
        </w:rPr>
      </w:pPr>
    </w:p>
    <w:p>
      <w:pPr>
        <w:spacing w:line="400" w:lineRule="exact"/>
        <w:rPr>
          <w:sz w:val="24"/>
          <w:szCs w:val="24"/>
        </w:rPr>
      </w:pPr>
      <w:r>
        <w:rPr>
          <w:sz w:val="24"/>
          <w:szCs w:val="24"/>
        </w:rPr>
        <w:t>3、进度与时间要求</w:t>
      </w:r>
    </w:p>
    <w:p>
      <w:pPr>
        <w:spacing w:line="400" w:lineRule="exact"/>
        <w:rPr>
          <w:sz w:val="24"/>
          <w:szCs w:val="24"/>
        </w:rPr>
      </w:pPr>
      <w:r>
        <w:rPr>
          <w:sz w:val="24"/>
          <w:szCs w:val="24"/>
        </w:rPr>
        <w:t>3.1计划工期：实际开工日期以设备停电计划为准，应标单位需24小时响应，以便完成紧急工作任务。完成内容：完成截止2020年6月30日，所要求设备维修项目。</w:t>
      </w:r>
    </w:p>
    <w:p>
      <w:pPr>
        <w:spacing w:line="400" w:lineRule="exact"/>
        <w:rPr>
          <w:sz w:val="24"/>
          <w:szCs w:val="24"/>
        </w:rPr>
      </w:pPr>
      <w:r>
        <w:rPr>
          <w:rFonts w:hint="eastAsia"/>
          <w:b/>
          <w:bCs/>
          <w:sz w:val="24"/>
          <w:szCs w:val="24"/>
          <w:u w:val="single"/>
        </w:rPr>
        <w:t>应答：充分理解并完全响应，承诺满足24小时响应时限与所要求完成截止时间。</w:t>
      </w:r>
    </w:p>
    <w:p>
      <w:pPr>
        <w:spacing w:line="400" w:lineRule="exact"/>
        <w:rPr>
          <w:sz w:val="24"/>
          <w:szCs w:val="24"/>
        </w:rPr>
      </w:pPr>
    </w:p>
    <w:p>
      <w:pPr>
        <w:spacing w:line="400" w:lineRule="exact"/>
        <w:rPr>
          <w:sz w:val="24"/>
          <w:szCs w:val="24"/>
        </w:rPr>
      </w:pPr>
      <w:r>
        <w:rPr>
          <w:sz w:val="24"/>
          <w:szCs w:val="24"/>
        </w:rPr>
        <w:t>3.2保修期：工作完成并经过发包人验收合格，并提供对维护质量3年的质保服务。</w:t>
      </w:r>
    </w:p>
    <w:p>
      <w:pPr>
        <w:spacing w:line="400" w:lineRule="exact"/>
        <w:rPr>
          <w:sz w:val="24"/>
          <w:szCs w:val="24"/>
        </w:rPr>
      </w:pPr>
      <w:r>
        <w:rPr>
          <w:rFonts w:hint="eastAsia"/>
          <w:b/>
          <w:bCs/>
          <w:sz w:val="24"/>
          <w:szCs w:val="24"/>
          <w:u w:val="single"/>
        </w:rPr>
        <w:t>应答：充分理解并完全响应，承诺发包人验收合格后，对维护质量提供3年的质保服务。</w:t>
      </w:r>
    </w:p>
    <w:p>
      <w:pPr>
        <w:spacing w:line="400" w:lineRule="exact"/>
        <w:rPr>
          <w:sz w:val="24"/>
          <w:szCs w:val="24"/>
        </w:rPr>
      </w:pPr>
    </w:p>
    <w:p>
      <w:pPr>
        <w:spacing w:line="400" w:lineRule="exact"/>
        <w:rPr>
          <w:sz w:val="24"/>
          <w:szCs w:val="24"/>
        </w:rPr>
      </w:pPr>
      <w:r>
        <w:rPr>
          <w:sz w:val="24"/>
          <w:szCs w:val="24"/>
        </w:rPr>
        <w:t>4、考核及验收要求</w:t>
      </w:r>
    </w:p>
    <w:p>
      <w:pPr>
        <w:spacing w:line="400" w:lineRule="exact"/>
        <w:rPr>
          <w:sz w:val="24"/>
          <w:szCs w:val="24"/>
        </w:rPr>
      </w:pPr>
      <w:r>
        <w:rPr>
          <w:sz w:val="24"/>
          <w:szCs w:val="24"/>
        </w:rPr>
        <w:t>4.1检修项目完工后须根据发包人的要求进行竣工验收。</w:t>
      </w:r>
    </w:p>
    <w:p>
      <w:pPr>
        <w:spacing w:line="400" w:lineRule="exact"/>
        <w:rPr>
          <w:sz w:val="24"/>
          <w:szCs w:val="24"/>
        </w:rPr>
      </w:pPr>
      <w:r>
        <w:rPr>
          <w:rFonts w:hint="eastAsia"/>
          <w:b/>
          <w:bCs/>
          <w:sz w:val="24"/>
          <w:szCs w:val="24"/>
          <w:u w:val="single"/>
        </w:rPr>
        <w:t>应答：充分理解并完全响应。</w:t>
      </w:r>
    </w:p>
    <w:p>
      <w:pPr>
        <w:spacing w:line="400" w:lineRule="exact"/>
        <w:rPr>
          <w:sz w:val="24"/>
          <w:szCs w:val="24"/>
        </w:rPr>
      </w:pPr>
    </w:p>
    <w:p>
      <w:pPr>
        <w:spacing w:line="400" w:lineRule="exact"/>
        <w:rPr>
          <w:sz w:val="24"/>
          <w:szCs w:val="24"/>
        </w:rPr>
      </w:pPr>
      <w:r>
        <w:rPr>
          <w:sz w:val="24"/>
          <w:szCs w:val="24"/>
        </w:rPr>
        <w:t>4.2发包人有权对检修项目进行监督并检查所有检修项目的工作进度，承包人须为发包人进行此类监督和检查提供方便。</w:t>
      </w:r>
    </w:p>
    <w:p>
      <w:pPr>
        <w:spacing w:line="400" w:lineRule="exact"/>
        <w:rPr>
          <w:sz w:val="24"/>
          <w:szCs w:val="24"/>
        </w:rPr>
      </w:pPr>
      <w:r>
        <w:rPr>
          <w:rFonts w:hint="eastAsia"/>
          <w:b/>
          <w:bCs/>
          <w:sz w:val="24"/>
          <w:szCs w:val="24"/>
          <w:u w:val="single"/>
        </w:rPr>
        <w:t>应答：充分理解并完全响应，承诺完全配合发包人监督与检查工作。</w:t>
      </w:r>
    </w:p>
    <w:p>
      <w:pPr>
        <w:spacing w:line="400" w:lineRule="exact"/>
        <w:rPr>
          <w:sz w:val="24"/>
          <w:szCs w:val="24"/>
        </w:rPr>
      </w:pPr>
    </w:p>
    <w:p>
      <w:pPr>
        <w:spacing w:line="400" w:lineRule="exact"/>
        <w:rPr>
          <w:sz w:val="24"/>
          <w:szCs w:val="24"/>
        </w:rPr>
      </w:pPr>
      <w:r>
        <w:rPr>
          <w:sz w:val="24"/>
          <w:szCs w:val="24"/>
        </w:rPr>
        <w:t>4.3对检修项目完工前未经发包人正式验收的任何项目，如发现有任何不符合本合同的要求，发包人有权书面通知承包人进行纠正。</w:t>
      </w:r>
    </w:p>
    <w:p>
      <w:pPr>
        <w:spacing w:line="400" w:lineRule="exact"/>
        <w:rPr>
          <w:sz w:val="24"/>
          <w:szCs w:val="24"/>
        </w:rPr>
      </w:pPr>
      <w:r>
        <w:rPr>
          <w:rFonts w:hint="eastAsia"/>
          <w:b/>
          <w:bCs/>
          <w:sz w:val="24"/>
          <w:szCs w:val="24"/>
          <w:u w:val="single"/>
        </w:rPr>
        <w:t>应答：充分理解并完全响应</w:t>
      </w:r>
    </w:p>
    <w:p>
      <w:pPr>
        <w:spacing w:line="400" w:lineRule="exact"/>
        <w:rPr>
          <w:sz w:val="24"/>
          <w:szCs w:val="24"/>
        </w:rPr>
      </w:pPr>
    </w:p>
    <w:p>
      <w:pPr>
        <w:spacing w:line="400" w:lineRule="exact"/>
        <w:rPr>
          <w:sz w:val="24"/>
          <w:szCs w:val="24"/>
        </w:rPr>
      </w:pPr>
      <w:r>
        <w:rPr>
          <w:sz w:val="24"/>
          <w:szCs w:val="24"/>
        </w:rPr>
        <w:t>5、其他要求</w:t>
      </w:r>
    </w:p>
    <w:p>
      <w:pPr>
        <w:spacing w:line="400" w:lineRule="exact"/>
        <w:rPr>
          <w:sz w:val="24"/>
          <w:szCs w:val="24"/>
        </w:rPr>
      </w:pPr>
      <w:r>
        <w:rPr>
          <w:sz w:val="24"/>
          <w:szCs w:val="24"/>
        </w:rPr>
        <w:t>5.1对于公开竞争性谈判，若应答供应商仅为1家时，建议转为单一来源采购。</w:t>
      </w:r>
    </w:p>
    <w:p>
      <w:pPr>
        <w:spacing w:line="400" w:lineRule="exact"/>
        <w:rPr>
          <w:sz w:val="24"/>
          <w:szCs w:val="24"/>
        </w:rPr>
      </w:pPr>
      <w:r>
        <w:rPr>
          <w:rFonts w:hint="eastAsia"/>
          <w:b/>
          <w:bCs/>
          <w:sz w:val="24"/>
          <w:szCs w:val="24"/>
          <w:u w:val="single"/>
        </w:rPr>
        <w:t>应答：充分理解并完全响应</w:t>
      </w:r>
    </w:p>
    <w:p>
      <w:pPr>
        <w:spacing w:line="400" w:lineRule="exact"/>
        <w:rPr>
          <w:sz w:val="24"/>
          <w:szCs w:val="24"/>
        </w:rPr>
      </w:pPr>
    </w:p>
    <w:p>
      <w:pPr>
        <w:spacing w:before="156" w:beforeLines="50" w:after="156" w:afterLines="50" w:line="400" w:lineRule="exact"/>
        <w:rPr>
          <w:b/>
          <w:bCs/>
          <w:sz w:val="24"/>
          <w:szCs w:val="24"/>
          <w:u w:val="single"/>
        </w:rPr>
      </w:pPr>
      <w:r>
        <w:rPr>
          <w:rFonts w:hint="eastAsia"/>
          <w:b/>
          <w:bCs/>
          <w:sz w:val="24"/>
          <w:szCs w:val="24"/>
          <w:u w:val="single"/>
        </w:rPr>
        <w:t>3）对本项目工程概况的响应</w:t>
      </w:r>
    </w:p>
    <w:p>
      <w:pPr>
        <w:spacing w:line="400" w:lineRule="exact"/>
        <w:ind w:firstLine="480" w:firstLineChars="200"/>
        <w:rPr>
          <w:rFonts w:ascii="Times New Roman" w:hAnsi="Times New Roman"/>
          <w:sz w:val="24"/>
          <w:szCs w:val="24"/>
        </w:rPr>
      </w:pPr>
      <w:r>
        <w:rPr>
          <w:rFonts w:ascii="Times New Roman" w:hAnsi="Times New Roman"/>
          <w:sz w:val="24"/>
          <w:szCs w:val="24"/>
        </w:rPr>
        <w:t>110kV金沙站等8座变电站10kV大电流开关柜型号为：KYN28A-12中置式手车柜，存在问题：10kV大电流开关柜型，该开关柜由于长期重载运行，负载电流在导磁材料上形成涡流造成柜体发热，并且散热装置运行是否正常无法观察和辨识，柜内散热效果不能满足安全运行要求，为提高设备运行可靠性，本期将开关柜散热装置进行智能化升级维修，总共进行10面开关柜升级维修。</w:t>
      </w:r>
    </w:p>
    <w:p>
      <w:pPr>
        <w:spacing w:line="400" w:lineRule="exact"/>
        <w:rPr>
          <w:sz w:val="24"/>
          <w:szCs w:val="24"/>
        </w:rPr>
      </w:pPr>
      <w:r>
        <w:rPr>
          <w:rFonts w:hint="eastAsia"/>
          <w:b/>
          <w:bCs/>
          <w:sz w:val="24"/>
          <w:szCs w:val="24"/>
          <w:u w:val="single"/>
        </w:rPr>
        <w:t>应答：充分理解并完全响应，承诺在项目规定时间内保质保量完成指定变电站的全部开关柜的升级维修工作。</w:t>
      </w:r>
    </w:p>
    <w:p>
      <w:pPr>
        <w:spacing w:line="400" w:lineRule="exact"/>
        <w:rPr>
          <w:rFonts w:ascii="Times New Roman" w:hAnsi="Times New Roman"/>
          <w:sz w:val="24"/>
          <w:szCs w:val="24"/>
        </w:rPr>
      </w:pPr>
    </w:p>
    <w:p>
      <w:pPr>
        <w:spacing w:before="156" w:beforeLines="50" w:after="156" w:afterLines="50" w:line="400" w:lineRule="exact"/>
        <w:rPr>
          <w:b/>
          <w:bCs/>
          <w:sz w:val="24"/>
          <w:szCs w:val="24"/>
          <w:u w:val="single"/>
        </w:rPr>
      </w:pPr>
      <w:r>
        <w:rPr>
          <w:rFonts w:hint="eastAsia"/>
          <w:b/>
          <w:bCs/>
          <w:sz w:val="24"/>
          <w:szCs w:val="24"/>
          <w:u w:val="single"/>
        </w:rPr>
        <w:t>4）对本项目采购内容的响应</w:t>
      </w:r>
    </w:p>
    <w:p>
      <w:pPr>
        <w:spacing w:line="400" w:lineRule="exact"/>
        <w:ind w:firstLine="480" w:firstLineChars="200"/>
        <w:rPr>
          <w:sz w:val="24"/>
          <w:szCs w:val="24"/>
        </w:rPr>
      </w:pPr>
      <w:r>
        <w:rPr>
          <w:rFonts w:hint="eastAsia"/>
          <w:sz w:val="24"/>
          <w:szCs w:val="24"/>
        </w:rPr>
        <w:t>大电流开关柜散热（除湿）装置控制器控制技术升级改造及维护。升级后的控制器具有实时在线监测功能，控制器可以同时监测二次负荷电流，温度，湿度、散热（除湿）装置运行电流、散热（除湿）装置运行市场等参数。大电流开关柜散热（除湿）装置控制器为一体式设计，同时自带可视化展示功能，散热（除湿）装置自适应启停、分组启动、运行工况监视、寿命监测等功能，散热（除湿）装置故障定位与告警功能，不同时段自动切换与装置启停阈值自动调整功能，散热装置电源失压告警功能。高效地监视现场大电流开关柜柜内运行环境，保证大电流开关柜安全稳定运行。</w:t>
      </w:r>
    </w:p>
    <w:p>
      <w:pPr>
        <w:spacing w:line="400" w:lineRule="exact"/>
        <w:rPr>
          <w:sz w:val="24"/>
          <w:szCs w:val="24"/>
        </w:rPr>
      </w:pPr>
      <w:r>
        <w:rPr>
          <w:rFonts w:hint="eastAsia"/>
          <w:b/>
          <w:bCs/>
          <w:sz w:val="24"/>
          <w:szCs w:val="24"/>
          <w:u w:val="single"/>
        </w:rPr>
        <w:t>应答：充分理解并完全响应，应答人技术实力与工程经验能满足采购内容全部要求，承诺严格按项目采购内容要求，在项目规定时间内保质保量完成指定变电站大电流开关柜散热(除湿</w:t>
      </w:r>
      <w:r>
        <w:rPr>
          <w:b/>
          <w:bCs/>
          <w:sz w:val="24"/>
          <w:szCs w:val="24"/>
          <w:u w:val="single"/>
        </w:rPr>
        <w:t>)</w:t>
      </w:r>
      <w:r>
        <w:rPr>
          <w:rFonts w:hint="eastAsia"/>
          <w:b/>
          <w:bCs/>
          <w:sz w:val="24"/>
          <w:szCs w:val="24"/>
          <w:u w:val="single"/>
        </w:rPr>
        <w:t>技术改造与升级维修工作，满足采购内容所要求的全部功能。</w:t>
      </w:r>
    </w:p>
    <w:p>
      <w:pPr>
        <w:spacing w:line="400" w:lineRule="exact"/>
        <w:rPr>
          <w:sz w:val="24"/>
          <w:szCs w:val="24"/>
        </w:rPr>
      </w:pPr>
    </w:p>
    <w:p>
      <w:pPr>
        <w:pStyle w:val="2"/>
      </w:pPr>
      <w:r>
        <w:rPr>
          <w:rFonts w:hint="eastAsia"/>
        </w:rPr>
        <w:t>六、评审条件、标准及采购文件要求的其它内容</w:t>
      </w:r>
    </w:p>
    <w:p>
      <w:pPr>
        <w:pStyle w:val="87"/>
        <w:spacing w:line="400" w:lineRule="exact"/>
        <w:ind w:firstLine="420"/>
        <w:rPr>
          <w:rFonts w:ascii="楷体" w:hAnsi="楷体" w:eastAsia="楷体"/>
          <w:b/>
        </w:rPr>
      </w:pPr>
      <w:r>
        <w:rPr>
          <w:rFonts w:hint="eastAsia" w:ascii="楷体" w:hAnsi="楷体" w:eastAsia="楷体"/>
        </w:rPr>
        <w:t>无。</w:t>
      </w:r>
    </w:p>
    <w:p>
      <w:pPr>
        <w:pStyle w:val="2"/>
      </w:pPr>
      <w:r>
        <w:rPr>
          <w:rFonts w:hint="eastAsia"/>
        </w:rPr>
        <w:t>七、应答人需说明的其它问题</w:t>
      </w:r>
    </w:p>
    <w:p>
      <w:pPr>
        <w:pStyle w:val="87"/>
        <w:spacing w:line="400" w:lineRule="exact"/>
        <w:ind w:firstLine="420"/>
        <w:rPr>
          <w:rFonts w:ascii="楷体" w:hAnsi="楷体" w:eastAsia="楷体"/>
        </w:rPr>
      </w:pPr>
      <w:r>
        <w:rPr>
          <w:rFonts w:hint="eastAsia" w:ascii="楷体" w:hAnsi="楷体" w:eastAsia="楷体"/>
        </w:rPr>
        <w:t>无。</w:t>
      </w:r>
    </w:p>
    <w:p>
      <w:pPr>
        <w:pStyle w:val="2"/>
      </w:pPr>
      <w:r>
        <w:rPr>
          <w:rFonts w:hint="eastAsia"/>
        </w:rPr>
        <w:t>八、偏差表格式</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813"/>
        <w:gridCol w:w="1935"/>
        <w:gridCol w:w="1709"/>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rFonts w:ascii="楷体" w:hAnsi="楷体"/>
              </w:rPr>
            </w:pPr>
            <w:r>
              <w:rPr>
                <w:rFonts w:hint="eastAsia" w:ascii="楷体" w:hAnsi="楷体"/>
              </w:rPr>
              <w:t>序号</w:t>
            </w:r>
          </w:p>
        </w:tc>
        <w:tc>
          <w:tcPr>
            <w:tcW w:w="1813" w:type="dxa"/>
            <w:vAlign w:val="center"/>
          </w:tcPr>
          <w:p>
            <w:pPr>
              <w:jc w:val="center"/>
              <w:rPr>
                <w:rFonts w:ascii="楷体" w:hAnsi="楷体"/>
              </w:rPr>
            </w:pPr>
            <w:r>
              <w:rPr>
                <w:rFonts w:hint="eastAsia" w:ascii="楷体" w:hAnsi="楷体"/>
              </w:rPr>
              <w:t>采购文件条目号</w:t>
            </w:r>
          </w:p>
        </w:tc>
        <w:tc>
          <w:tcPr>
            <w:tcW w:w="1935" w:type="dxa"/>
            <w:vAlign w:val="center"/>
          </w:tcPr>
          <w:p>
            <w:pPr>
              <w:jc w:val="center"/>
              <w:rPr>
                <w:rFonts w:ascii="楷体" w:hAnsi="楷体"/>
              </w:rPr>
            </w:pPr>
            <w:r>
              <w:rPr>
                <w:rFonts w:hint="eastAsia" w:ascii="楷体" w:hAnsi="楷体"/>
              </w:rPr>
              <w:t>采购文件条款</w:t>
            </w:r>
          </w:p>
        </w:tc>
        <w:tc>
          <w:tcPr>
            <w:tcW w:w="1709" w:type="dxa"/>
            <w:vAlign w:val="center"/>
          </w:tcPr>
          <w:p>
            <w:pPr>
              <w:jc w:val="center"/>
              <w:rPr>
                <w:rFonts w:ascii="楷体" w:hAnsi="楷体"/>
              </w:rPr>
            </w:pPr>
            <w:r>
              <w:rPr>
                <w:rFonts w:hint="eastAsia" w:ascii="楷体" w:hAnsi="楷体"/>
              </w:rPr>
              <w:t>应答文件条款</w:t>
            </w:r>
          </w:p>
        </w:tc>
        <w:tc>
          <w:tcPr>
            <w:tcW w:w="2355" w:type="dxa"/>
            <w:vAlign w:val="center"/>
          </w:tcPr>
          <w:p>
            <w:pPr>
              <w:jc w:val="center"/>
              <w:rPr>
                <w:rFonts w:ascii="楷体" w:hAnsi="楷体"/>
              </w:rPr>
            </w:pPr>
            <w:r>
              <w:rPr>
                <w:rFonts w:hint="eastAsia" w:ascii="楷体" w:hAnsi="楷体"/>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rFonts w:ascii="楷体" w:hAnsi="楷体"/>
              </w:rPr>
            </w:pPr>
            <w:r>
              <w:rPr>
                <w:rFonts w:hint="eastAsia" w:ascii="楷体" w:hAnsi="楷体"/>
              </w:rPr>
              <w:t>*1</w:t>
            </w:r>
          </w:p>
        </w:tc>
        <w:tc>
          <w:tcPr>
            <w:tcW w:w="1813" w:type="dxa"/>
          </w:tcPr>
          <w:p>
            <w:pPr>
              <w:jc w:val="center"/>
              <w:rPr>
                <w:rFonts w:ascii="楷体" w:hAnsi="楷体"/>
              </w:rPr>
            </w:pPr>
          </w:p>
        </w:tc>
        <w:tc>
          <w:tcPr>
            <w:tcW w:w="1935" w:type="dxa"/>
          </w:tcPr>
          <w:p>
            <w:pPr>
              <w:jc w:val="center"/>
              <w:rPr>
                <w:rFonts w:ascii="楷体" w:hAnsi="楷体"/>
              </w:rPr>
            </w:pPr>
          </w:p>
        </w:tc>
        <w:tc>
          <w:tcPr>
            <w:tcW w:w="1709" w:type="dxa"/>
          </w:tcPr>
          <w:p>
            <w:pPr>
              <w:jc w:val="center"/>
              <w:rPr>
                <w:rFonts w:ascii="楷体" w:hAnsi="楷体"/>
              </w:rPr>
            </w:pPr>
          </w:p>
        </w:tc>
        <w:tc>
          <w:tcPr>
            <w:tcW w:w="2355" w:type="dxa"/>
          </w:tcPr>
          <w:p>
            <w:pPr>
              <w:jc w:val="center"/>
              <w:rPr>
                <w:rFonts w:ascii="楷体" w:hAnsi="楷体"/>
                <w:b/>
                <w:bCs/>
              </w:rPr>
            </w:pPr>
            <w:r>
              <w:rPr>
                <w:rFonts w:ascii="楷体" w:hAnsi="楷体"/>
                <w:b/>
                <w:bCs/>
              </w:rPr>
              <w:t>无偏差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rFonts w:ascii="楷体" w:hAnsi="楷体"/>
              </w:rPr>
            </w:pPr>
            <w:r>
              <w:rPr>
                <w:rFonts w:hint="eastAsia" w:ascii="楷体" w:hAnsi="楷体"/>
              </w:rPr>
              <w:t>*2</w:t>
            </w:r>
          </w:p>
        </w:tc>
        <w:tc>
          <w:tcPr>
            <w:tcW w:w="1813" w:type="dxa"/>
          </w:tcPr>
          <w:p>
            <w:pPr>
              <w:jc w:val="center"/>
              <w:rPr>
                <w:rFonts w:ascii="楷体" w:hAnsi="楷体"/>
              </w:rPr>
            </w:pPr>
          </w:p>
        </w:tc>
        <w:tc>
          <w:tcPr>
            <w:tcW w:w="1935" w:type="dxa"/>
          </w:tcPr>
          <w:p>
            <w:pPr>
              <w:jc w:val="center"/>
              <w:rPr>
                <w:rFonts w:ascii="楷体" w:hAnsi="楷体"/>
              </w:rPr>
            </w:pPr>
          </w:p>
        </w:tc>
        <w:tc>
          <w:tcPr>
            <w:tcW w:w="1709" w:type="dxa"/>
          </w:tcPr>
          <w:p>
            <w:pPr>
              <w:jc w:val="center"/>
              <w:rPr>
                <w:rFonts w:ascii="楷体" w:hAnsi="楷体"/>
              </w:rPr>
            </w:pPr>
          </w:p>
        </w:tc>
        <w:tc>
          <w:tcPr>
            <w:tcW w:w="2355" w:type="dxa"/>
          </w:tcPr>
          <w:p>
            <w:pPr>
              <w:jc w:val="center"/>
              <w:rPr>
                <w:rFonts w:ascii="楷体" w:hAnsi="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rFonts w:ascii="楷体" w:hAnsi="楷体"/>
              </w:rPr>
            </w:pPr>
            <w:r>
              <w:rPr>
                <w:rFonts w:hint="eastAsia" w:ascii="楷体" w:hAnsi="楷体"/>
              </w:rPr>
              <w:t>*3</w:t>
            </w:r>
          </w:p>
        </w:tc>
        <w:tc>
          <w:tcPr>
            <w:tcW w:w="1813" w:type="dxa"/>
          </w:tcPr>
          <w:p>
            <w:pPr>
              <w:jc w:val="center"/>
              <w:rPr>
                <w:rFonts w:ascii="楷体" w:hAnsi="楷体"/>
              </w:rPr>
            </w:pPr>
          </w:p>
        </w:tc>
        <w:tc>
          <w:tcPr>
            <w:tcW w:w="1935" w:type="dxa"/>
          </w:tcPr>
          <w:p>
            <w:pPr>
              <w:jc w:val="center"/>
              <w:rPr>
                <w:rFonts w:ascii="楷体" w:hAnsi="楷体"/>
              </w:rPr>
            </w:pPr>
          </w:p>
        </w:tc>
        <w:tc>
          <w:tcPr>
            <w:tcW w:w="1709" w:type="dxa"/>
          </w:tcPr>
          <w:p>
            <w:pPr>
              <w:jc w:val="center"/>
              <w:rPr>
                <w:rFonts w:ascii="楷体" w:hAnsi="楷体"/>
              </w:rPr>
            </w:pPr>
          </w:p>
        </w:tc>
        <w:tc>
          <w:tcPr>
            <w:tcW w:w="2355" w:type="dxa"/>
          </w:tcPr>
          <w:p>
            <w:pPr>
              <w:jc w:val="center"/>
              <w:rPr>
                <w:rFonts w:ascii="楷体" w:hAnsi="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rFonts w:ascii="楷体" w:hAnsi="楷体"/>
              </w:rPr>
            </w:pPr>
          </w:p>
        </w:tc>
        <w:tc>
          <w:tcPr>
            <w:tcW w:w="1813" w:type="dxa"/>
          </w:tcPr>
          <w:p>
            <w:pPr>
              <w:jc w:val="center"/>
              <w:rPr>
                <w:rFonts w:ascii="楷体" w:hAnsi="楷体"/>
              </w:rPr>
            </w:pPr>
          </w:p>
        </w:tc>
        <w:tc>
          <w:tcPr>
            <w:tcW w:w="1935" w:type="dxa"/>
          </w:tcPr>
          <w:p>
            <w:pPr>
              <w:jc w:val="center"/>
              <w:rPr>
                <w:rFonts w:ascii="楷体" w:hAnsi="楷体"/>
              </w:rPr>
            </w:pPr>
          </w:p>
        </w:tc>
        <w:tc>
          <w:tcPr>
            <w:tcW w:w="1709" w:type="dxa"/>
          </w:tcPr>
          <w:p>
            <w:pPr>
              <w:jc w:val="center"/>
              <w:rPr>
                <w:rFonts w:ascii="楷体" w:hAnsi="楷体"/>
              </w:rPr>
            </w:pPr>
          </w:p>
        </w:tc>
        <w:tc>
          <w:tcPr>
            <w:tcW w:w="2355" w:type="dxa"/>
          </w:tcPr>
          <w:p>
            <w:pPr>
              <w:jc w:val="center"/>
              <w:rPr>
                <w:rFonts w:ascii="楷体" w:hAnsi="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rFonts w:ascii="楷体" w:hAnsi="楷体"/>
              </w:rPr>
            </w:pPr>
          </w:p>
        </w:tc>
        <w:tc>
          <w:tcPr>
            <w:tcW w:w="1813" w:type="dxa"/>
          </w:tcPr>
          <w:p>
            <w:pPr>
              <w:jc w:val="center"/>
              <w:rPr>
                <w:rFonts w:ascii="楷体" w:hAnsi="楷体"/>
              </w:rPr>
            </w:pPr>
          </w:p>
        </w:tc>
        <w:tc>
          <w:tcPr>
            <w:tcW w:w="1935" w:type="dxa"/>
          </w:tcPr>
          <w:p>
            <w:pPr>
              <w:jc w:val="center"/>
              <w:rPr>
                <w:rFonts w:ascii="楷体" w:hAnsi="楷体"/>
              </w:rPr>
            </w:pPr>
          </w:p>
        </w:tc>
        <w:tc>
          <w:tcPr>
            <w:tcW w:w="1709" w:type="dxa"/>
          </w:tcPr>
          <w:p>
            <w:pPr>
              <w:jc w:val="center"/>
              <w:rPr>
                <w:rFonts w:ascii="楷体" w:hAnsi="楷体"/>
              </w:rPr>
            </w:pPr>
          </w:p>
        </w:tc>
        <w:tc>
          <w:tcPr>
            <w:tcW w:w="2355" w:type="dxa"/>
          </w:tcPr>
          <w:p>
            <w:pPr>
              <w:jc w:val="center"/>
              <w:rPr>
                <w:rFonts w:ascii="楷体" w:hAnsi="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rFonts w:ascii="楷体" w:hAnsi="楷体"/>
              </w:rPr>
            </w:pPr>
          </w:p>
        </w:tc>
        <w:tc>
          <w:tcPr>
            <w:tcW w:w="1813" w:type="dxa"/>
          </w:tcPr>
          <w:p>
            <w:pPr>
              <w:jc w:val="center"/>
              <w:rPr>
                <w:rFonts w:ascii="楷体" w:hAnsi="楷体"/>
              </w:rPr>
            </w:pPr>
          </w:p>
        </w:tc>
        <w:tc>
          <w:tcPr>
            <w:tcW w:w="1935" w:type="dxa"/>
          </w:tcPr>
          <w:p>
            <w:pPr>
              <w:jc w:val="center"/>
              <w:rPr>
                <w:rFonts w:ascii="楷体" w:hAnsi="楷体"/>
              </w:rPr>
            </w:pPr>
          </w:p>
        </w:tc>
        <w:tc>
          <w:tcPr>
            <w:tcW w:w="1709" w:type="dxa"/>
          </w:tcPr>
          <w:p>
            <w:pPr>
              <w:jc w:val="center"/>
              <w:rPr>
                <w:rFonts w:ascii="楷体" w:hAnsi="楷体"/>
              </w:rPr>
            </w:pPr>
          </w:p>
        </w:tc>
        <w:tc>
          <w:tcPr>
            <w:tcW w:w="2355" w:type="dxa"/>
          </w:tcPr>
          <w:p>
            <w:pPr>
              <w:jc w:val="center"/>
              <w:rPr>
                <w:rFonts w:ascii="楷体" w:hAnsi="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5"/>
          </w:tcPr>
          <w:p>
            <w:pPr>
              <w:rPr>
                <w:rFonts w:ascii="楷体" w:hAnsi="楷体"/>
              </w:rPr>
            </w:pPr>
            <w:r>
              <w:rPr>
                <w:rFonts w:hint="eastAsia" w:ascii="楷体" w:hAnsi="楷体"/>
              </w:rPr>
              <w:t>编制说明：带“*”（如有）者应答人必须进行应答，如有偏差请在本表中说明，无偏差的请在“偏差说明”填写“无偏差”。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5"/>
          </w:tcPr>
          <w:p>
            <w:pPr>
              <w:rPr>
                <w:rFonts w:ascii="楷体" w:hAnsi="楷体"/>
              </w:rPr>
            </w:pPr>
            <w:r>
              <w:rPr>
                <w:rFonts w:hint="eastAsia" w:ascii="楷体" w:hAnsi="楷体"/>
              </w:rPr>
              <w:t>应答人声明：针对本采购标的，除本表已列明偏差外，我们接受采购文件规定的其余全部商务（技术）条件，并承诺按照采购文件规定的商务（技术）条件提供对应服务。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5"/>
          </w:tcPr>
          <w:p>
            <w:pPr>
              <w:rPr>
                <w:rFonts w:ascii="楷体" w:hAnsi="楷体"/>
              </w:rPr>
            </w:pPr>
          </w:p>
          <w:p>
            <w:pPr>
              <w:rPr>
                <w:rFonts w:ascii="楷体" w:hAnsi="楷体"/>
              </w:rPr>
            </w:pPr>
          </w:p>
          <w:p>
            <w:pPr>
              <w:rPr>
                <w:rFonts w:ascii="楷体" w:hAnsi="楷体"/>
              </w:rPr>
            </w:pPr>
            <w:r>
              <w:rPr>
                <w:rFonts w:hint="eastAsia" w:ascii="楷体" w:hAnsi="楷体"/>
              </w:rPr>
              <w:t xml:space="preserve">法定代表人或授权代表签字： </w:t>
            </w:r>
            <w:r>
              <w:rPr>
                <w:rFonts w:ascii="楷体" w:hAnsi="楷体"/>
                <w:u w:val="single"/>
              </w:rPr>
              <w:t xml:space="preserve">                       </w:t>
            </w:r>
          </w:p>
          <w:p>
            <w:pPr>
              <w:rPr>
                <w:rFonts w:ascii="楷体" w:hAnsi="楷体"/>
              </w:rPr>
            </w:pPr>
          </w:p>
          <w:p>
            <w:pPr>
              <w:rPr>
                <w:rFonts w:ascii="楷体" w:hAnsi="楷体"/>
              </w:rPr>
            </w:pPr>
            <w:r>
              <w:rPr>
                <w:rFonts w:hint="eastAsia" w:ascii="楷体" w:hAnsi="楷体"/>
              </w:rPr>
              <w:t>公章：四川大学</w:t>
            </w:r>
          </w:p>
          <w:p>
            <w:pPr>
              <w:rPr>
                <w:rFonts w:ascii="楷体" w:hAnsi="楷体"/>
              </w:rPr>
            </w:pPr>
          </w:p>
          <w:p>
            <w:pPr>
              <w:rPr>
                <w:rFonts w:ascii="楷体" w:hAnsi="楷体"/>
              </w:rPr>
            </w:pPr>
            <w:r>
              <w:rPr>
                <w:rFonts w:hint="eastAsia" w:ascii="楷体" w:hAnsi="楷体"/>
              </w:rPr>
              <w:t>日    期：2020年5月13日</w:t>
            </w:r>
          </w:p>
        </w:tc>
      </w:tr>
      <w:bookmarkEnd w:id="8"/>
      <w:bookmarkEnd w:id="9"/>
      <w:bookmarkEnd w:id="10"/>
      <w:bookmarkEnd w:id="11"/>
      <w:bookmarkEnd w:id="12"/>
      <w:bookmarkEnd w:id="13"/>
      <w:bookmarkEnd w:id="14"/>
      <w:bookmarkEnd w:id="15"/>
    </w:tbl>
    <w:p>
      <w:pPr>
        <w:spacing w:line="360" w:lineRule="auto"/>
        <w:rPr>
          <w:rFonts w:ascii="楷体" w:hAnsi="楷体"/>
          <w:b/>
          <w:sz w:val="32"/>
        </w:rPr>
      </w:pPr>
    </w:p>
    <w:p>
      <w:pPr>
        <w:widowControl/>
        <w:jc w:val="left"/>
        <w:rPr>
          <w:rFonts w:ascii="楷体" w:hAnsi="楷体"/>
          <w:b/>
          <w:sz w:val="32"/>
        </w:rPr>
      </w:pPr>
      <w:r>
        <w:rPr>
          <w:rFonts w:ascii="楷体" w:hAnsi="楷体"/>
          <w:b/>
          <w:sz w:val="32"/>
        </w:rPr>
        <w:br w:type="page"/>
      </w:r>
    </w:p>
    <w:p>
      <w:pPr>
        <w:pStyle w:val="2"/>
      </w:pPr>
      <w:bookmarkStart w:id="18" w:name="_Toc25431"/>
      <w:r>
        <w:rPr>
          <w:rFonts w:hint="eastAsia"/>
          <w:bCs/>
          <w:szCs w:val="24"/>
        </w:rPr>
        <w:t>九、</w:t>
      </w:r>
      <w:r>
        <w:rPr>
          <w:rFonts w:hint="eastAsia"/>
        </w:rPr>
        <w:t>增值税适用税率声明</w:t>
      </w:r>
      <w:bookmarkEnd w:id="18"/>
    </w:p>
    <w:p>
      <w:pPr>
        <w:spacing w:line="360" w:lineRule="auto"/>
        <w:jc w:val="left"/>
        <w:rPr>
          <w:rFonts w:ascii="楷体" w:hAnsi="楷体" w:cs="楷体"/>
          <w:b/>
        </w:rPr>
      </w:pPr>
    </w:p>
    <w:p>
      <w:pPr>
        <w:spacing w:line="360" w:lineRule="auto"/>
        <w:ind w:firstLine="420" w:firstLineChars="200"/>
        <w:jc w:val="left"/>
        <w:rPr>
          <w:rFonts w:ascii="楷体" w:hAnsi="楷体"/>
          <w:szCs w:val="21"/>
          <w:u w:val="single"/>
        </w:rPr>
      </w:pPr>
      <w:r>
        <w:rPr>
          <w:rFonts w:hint="eastAsia" w:ascii="楷体" w:hAnsi="楷体"/>
          <w:szCs w:val="21"/>
        </w:rPr>
        <w:t>我方已仔细研究了</w:t>
      </w:r>
      <w:r>
        <w:rPr>
          <w:rFonts w:hint="eastAsia" w:ascii="楷体" w:hAnsi="楷体"/>
          <w:szCs w:val="21"/>
          <w:u w:val="single"/>
        </w:rPr>
        <w:t xml:space="preserve">    国网四川成都供电公司变电检修工区</w:t>
      </w:r>
      <w:r>
        <w:rPr>
          <w:rFonts w:ascii="楷体" w:hAnsi="楷体"/>
          <w:szCs w:val="21"/>
          <w:u w:val="single"/>
        </w:rPr>
        <w:t>110kV金沙变电站等8座变电站大电流开关柜散热装置控制智能化专项整治服务</w:t>
      </w:r>
      <w:r>
        <w:rPr>
          <w:rFonts w:hint="eastAsia" w:ascii="楷体" w:hAnsi="楷体"/>
          <w:szCs w:val="21"/>
          <w:u w:val="single"/>
        </w:rPr>
        <w:t xml:space="preserve"> </w:t>
      </w:r>
      <w:r>
        <w:rPr>
          <w:rFonts w:hint="eastAsia" w:ascii="楷体" w:hAnsi="楷体"/>
          <w:szCs w:val="21"/>
        </w:rPr>
        <w:t>项目的全部内容，按照国家税务总局公告及《税法》的相关规定，我方承诺所投项目适用</w:t>
      </w:r>
      <w:commentRangeStart w:id="8"/>
      <w:r>
        <w:rPr>
          <w:rFonts w:hint="eastAsia" w:ascii="楷体" w:hAnsi="楷体"/>
          <w:szCs w:val="21"/>
        </w:rPr>
        <w:t>的税项为</w:t>
      </w:r>
      <w:r>
        <w:rPr>
          <w:rFonts w:hint="eastAsia" w:ascii="楷体" w:hAnsi="楷体"/>
          <w:szCs w:val="21"/>
          <w:u w:val="single"/>
        </w:rPr>
        <w:t xml:space="preserve">          </w:t>
      </w:r>
      <w:r>
        <w:rPr>
          <w:rFonts w:hint="eastAsia" w:ascii="楷体" w:hAnsi="楷体"/>
          <w:szCs w:val="21"/>
        </w:rPr>
        <w:t>，</w:t>
      </w:r>
      <w:commentRangeEnd w:id="8"/>
      <w:r>
        <w:rPr>
          <w:rStyle w:val="56"/>
          <w:rFonts w:eastAsia="宋体" w:asciiTheme="minorHAnsi" w:hAnsiTheme="minorHAnsi" w:cstheme="minorBidi"/>
          <w:szCs w:val="22"/>
        </w:rPr>
        <w:commentReference w:id="8"/>
      </w:r>
      <w:r>
        <w:rPr>
          <w:rFonts w:hint="eastAsia" w:ascii="楷体" w:hAnsi="楷体"/>
          <w:szCs w:val="21"/>
        </w:rPr>
        <w:t>适用税率为</w:t>
      </w:r>
      <w:r>
        <w:rPr>
          <w:rFonts w:hint="eastAsia" w:ascii="楷体" w:hAnsi="楷体"/>
          <w:szCs w:val="21"/>
          <w:u w:val="single"/>
        </w:rPr>
        <w:t xml:space="preserve">   </w:t>
      </w:r>
      <w:r>
        <w:rPr>
          <w:rFonts w:ascii="楷体" w:hAnsi="楷体"/>
          <w:szCs w:val="21"/>
          <w:u w:val="single"/>
        </w:rPr>
        <w:t>3</w:t>
      </w:r>
      <w:r>
        <w:rPr>
          <w:rFonts w:hint="eastAsia" w:ascii="楷体" w:hAnsi="楷体"/>
          <w:szCs w:val="21"/>
          <w:u w:val="single"/>
        </w:rPr>
        <w:t xml:space="preserve">%        </w:t>
      </w:r>
      <w:r>
        <w:rPr>
          <w:rFonts w:hint="eastAsia" w:ascii="楷体" w:hAnsi="楷体"/>
          <w:szCs w:val="21"/>
        </w:rPr>
        <w:t>。若在评审过程中发现我方税项或税率适用错误，我方无条件接受评审委员会作出的否决应答的处理决定。若在费用结算过程中发现我方税项或税率适用错误，我方承诺在不增加采购人实际成本及税负的前提下，对增值税发票进行更换以满足国家税务总局公告及《税法》的相关规定，相关损失由我公司自行承担。</w:t>
      </w:r>
    </w:p>
    <w:p>
      <w:pPr>
        <w:spacing w:line="360" w:lineRule="auto"/>
        <w:ind w:firstLine="420" w:firstLineChars="200"/>
        <w:jc w:val="left"/>
        <w:rPr>
          <w:rFonts w:ascii="楷体" w:hAnsi="楷体"/>
          <w:szCs w:val="21"/>
        </w:rPr>
      </w:pPr>
      <w:r>
        <w:rPr>
          <w:rFonts w:hint="eastAsia" w:ascii="楷体" w:hAnsi="楷体"/>
          <w:szCs w:val="21"/>
        </w:rPr>
        <w:t>特此声明！</w:t>
      </w:r>
    </w:p>
    <w:p>
      <w:pPr>
        <w:spacing w:line="360" w:lineRule="auto"/>
        <w:ind w:firstLine="420" w:firstLineChars="200"/>
        <w:jc w:val="left"/>
        <w:rPr>
          <w:rFonts w:ascii="楷体" w:hAnsi="楷体"/>
          <w:szCs w:val="21"/>
        </w:rPr>
      </w:pPr>
    </w:p>
    <w:p>
      <w:pPr>
        <w:spacing w:line="360" w:lineRule="auto"/>
        <w:ind w:firstLine="420" w:firstLineChars="200"/>
        <w:jc w:val="left"/>
        <w:rPr>
          <w:rFonts w:ascii="楷体" w:hAnsi="楷体"/>
          <w:szCs w:val="21"/>
        </w:rPr>
      </w:pPr>
    </w:p>
    <w:p>
      <w:pPr>
        <w:pStyle w:val="25"/>
        <w:wordWrap w:val="0"/>
        <w:spacing w:line="480" w:lineRule="exact"/>
        <w:ind w:firstLine="2891" w:firstLineChars="1377"/>
        <w:jc w:val="right"/>
        <w:rPr>
          <w:rFonts w:ascii="楷体" w:hAnsi="楷体" w:cs="宋体"/>
          <w:szCs w:val="21"/>
        </w:rPr>
      </w:pPr>
      <w:r>
        <w:rPr>
          <w:rFonts w:hint="eastAsia" w:ascii="楷体" w:hAnsi="楷体" w:cs="宋体"/>
          <w:szCs w:val="21"/>
        </w:rPr>
        <w:t xml:space="preserve">应答人：四川大学(盖章)         </w:t>
      </w:r>
    </w:p>
    <w:p>
      <w:pPr>
        <w:pStyle w:val="25"/>
        <w:wordWrap w:val="0"/>
        <w:spacing w:line="480" w:lineRule="exact"/>
        <w:ind w:firstLine="2891" w:firstLineChars="1377"/>
        <w:jc w:val="right"/>
        <w:rPr>
          <w:rFonts w:ascii="楷体" w:hAnsi="楷体" w:cs="宋体"/>
          <w:szCs w:val="21"/>
        </w:rPr>
      </w:pPr>
      <w:r>
        <w:rPr>
          <w:rFonts w:hint="eastAsia" w:ascii="楷体" w:hAnsi="楷体" w:cs="宋体"/>
          <w:szCs w:val="21"/>
        </w:rPr>
        <w:t xml:space="preserve">应答单位财务专用章：（盖章）    </w:t>
      </w:r>
    </w:p>
    <w:p>
      <w:pPr>
        <w:pStyle w:val="25"/>
        <w:spacing w:line="480" w:lineRule="exact"/>
        <w:ind w:firstLine="1841" w:firstLineChars="877"/>
        <w:jc w:val="right"/>
        <w:rPr>
          <w:rFonts w:ascii="楷体" w:hAnsi="楷体" w:cs="宋体"/>
          <w:szCs w:val="21"/>
        </w:rPr>
      </w:pPr>
    </w:p>
    <w:p>
      <w:pPr>
        <w:pStyle w:val="331"/>
        <w:jc w:val="right"/>
        <w:rPr>
          <w:rFonts w:ascii="楷体" w:hAnsi="楷体" w:eastAsia="楷体" w:cs="楷体"/>
          <w:b/>
          <w:bCs/>
          <w:color w:val="000000"/>
          <w:szCs w:val="21"/>
        </w:rPr>
      </w:pPr>
      <w:r>
        <w:rPr>
          <w:rFonts w:hint="eastAsia" w:ascii="楷体" w:hAnsi="楷体" w:eastAsia="楷体" w:cs="宋体"/>
          <w:szCs w:val="21"/>
        </w:rPr>
        <w:t>2</w:t>
      </w:r>
      <w:r>
        <w:rPr>
          <w:rFonts w:ascii="楷体" w:hAnsi="楷体" w:eastAsia="楷体" w:cs="宋体"/>
          <w:szCs w:val="21"/>
        </w:rPr>
        <w:t>020</w:t>
      </w:r>
      <w:r>
        <w:rPr>
          <w:rFonts w:hint="eastAsia" w:ascii="楷体" w:hAnsi="楷体" w:eastAsia="楷体" w:cs="宋体"/>
          <w:szCs w:val="21"/>
        </w:rPr>
        <w:t xml:space="preserve">年 </w:t>
      </w:r>
      <w:r>
        <w:rPr>
          <w:rFonts w:ascii="楷体" w:hAnsi="楷体" w:eastAsia="楷体" w:cs="宋体"/>
          <w:szCs w:val="21"/>
        </w:rPr>
        <w:t>5</w:t>
      </w:r>
      <w:r>
        <w:rPr>
          <w:rFonts w:hint="eastAsia" w:ascii="楷体" w:hAnsi="楷体" w:eastAsia="楷体" w:cs="宋体"/>
          <w:szCs w:val="21"/>
        </w:rPr>
        <w:t xml:space="preserve">  月 </w:t>
      </w:r>
      <w:r>
        <w:rPr>
          <w:rFonts w:ascii="楷体" w:hAnsi="楷体" w:eastAsia="楷体" w:cs="宋体"/>
          <w:szCs w:val="21"/>
        </w:rPr>
        <w:t>13</w:t>
      </w:r>
      <w:r>
        <w:rPr>
          <w:rFonts w:hint="eastAsia" w:ascii="楷体" w:hAnsi="楷体" w:eastAsia="楷体" w:cs="宋体"/>
          <w:szCs w:val="21"/>
        </w:rPr>
        <w:t xml:space="preserve">  日</w:t>
      </w:r>
    </w:p>
    <w:p>
      <w:pPr>
        <w:widowControl/>
        <w:jc w:val="left"/>
        <w:rPr>
          <w:rFonts w:ascii="楷体" w:hAnsi="楷体" w:eastAsiaTheme="minorEastAsia" w:cstheme="minorBidi"/>
          <w:szCs w:val="21"/>
        </w:rPr>
      </w:pPr>
      <w:r>
        <w:rPr>
          <w:rFonts w:ascii="楷体" w:hAnsi="楷体"/>
          <w:szCs w:val="21"/>
        </w:rPr>
        <w:br w:type="page"/>
      </w:r>
    </w:p>
    <w:p>
      <w:pPr>
        <w:pStyle w:val="25"/>
        <w:ind w:right="420"/>
        <w:jc w:val="left"/>
        <w:rPr>
          <w:rFonts w:ascii="楷体" w:hAnsi="楷体"/>
          <w:szCs w:val="21"/>
        </w:rPr>
      </w:pPr>
      <w:r>
        <w:rPr>
          <w:rFonts w:hint="eastAsia" w:ascii="楷体" w:hAnsi="楷体"/>
          <w:szCs w:val="21"/>
        </w:rPr>
        <w:t>附增值税税率为</w:t>
      </w:r>
      <w:r>
        <w:rPr>
          <w:rFonts w:ascii="楷体" w:hAnsi="楷体"/>
          <w:szCs w:val="21"/>
        </w:rPr>
        <w:t>3</w:t>
      </w:r>
      <w:r>
        <w:rPr>
          <w:rFonts w:hint="eastAsia" w:ascii="楷体" w:hAnsi="楷体"/>
          <w:szCs w:val="21"/>
        </w:rPr>
        <w:t>%证明文件：</w:t>
      </w:r>
    </w:p>
    <w:p>
      <w:pPr>
        <w:pStyle w:val="25"/>
        <w:ind w:right="420"/>
        <w:jc w:val="left"/>
        <w:rPr>
          <w:rFonts w:ascii="楷体" w:hAnsi="楷体"/>
          <w:szCs w:val="21"/>
        </w:rPr>
      </w:pPr>
      <w:r>
        <w:rPr>
          <w:rFonts w:hint="eastAsia" w:ascii="楷体" w:hAnsi="楷体"/>
          <w:szCs w:val="21"/>
        </w:rPr>
        <w:drawing>
          <wp:inline distT="0" distB="0" distL="0" distR="0">
            <wp:extent cx="7032625" cy="5274310"/>
            <wp:effectExtent l="2858"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7032625" cy="5274310"/>
                    </a:xfrm>
                    <a:prstGeom prst="rect">
                      <a:avLst/>
                    </a:prstGeom>
                  </pic:spPr>
                </pic:pic>
              </a:graphicData>
            </a:graphic>
          </wp:inline>
        </w:drawing>
      </w:r>
      <w:r>
        <w:rPr>
          <w:rFonts w:hint="eastAsia" w:ascii="楷体" w:hAnsi="楷体"/>
          <w:szCs w:val="21"/>
        </w:rPr>
        <w:drawing>
          <wp:inline distT="0" distB="0" distL="0" distR="0">
            <wp:extent cx="7032625" cy="5274310"/>
            <wp:effectExtent l="2858"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7032625" cy="5274310"/>
                    </a:xfrm>
                    <a:prstGeom prst="rect">
                      <a:avLst/>
                    </a:prstGeom>
                  </pic:spPr>
                </pic:pic>
              </a:graphicData>
            </a:graphic>
          </wp:inline>
        </w:drawing>
      </w:r>
      <w:r>
        <w:rPr>
          <w:rFonts w:hint="eastAsia" w:ascii="楷体" w:hAnsi="楷体"/>
          <w:szCs w:val="21"/>
        </w:rPr>
        <w:drawing>
          <wp:inline distT="0" distB="0" distL="0" distR="0">
            <wp:extent cx="7032625" cy="5274310"/>
            <wp:effectExtent l="2858"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7032625" cy="5274310"/>
                    </a:xfrm>
                    <a:prstGeom prst="rect">
                      <a:avLst/>
                    </a:prstGeom>
                  </pic:spPr>
                </pic:pic>
              </a:graphicData>
            </a:graphic>
          </wp:inline>
        </w:drawing>
      </w:r>
      <w:r>
        <w:rPr>
          <w:rFonts w:hint="eastAsia" w:ascii="楷体" w:hAnsi="楷体"/>
          <w:szCs w:val="21"/>
        </w:rPr>
        <w:drawing>
          <wp:inline distT="0" distB="0" distL="0" distR="0">
            <wp:extent cx="7257415" cy="5443220"/>
            <wp:effectExtent l="0" t="7302"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7273283" cy="5455400"/>
                    </a:xfrm>
                    <a:prstGeom prst="rect">
                      <a:avLst/>
                    </a:prstGeom>
                  </pic:spPr>
                </pic:pic>
              </a:graphicData>
            </a:graphic>
          </wp:inline>
        </w:drawing>
      </w:r>
    </w:p>
    <w:p>
      <w:r>
        <w:tab/>
      </w:r>
    </w:p>
    <w:p>
      <w:pPr>
        <w:widowControl/>
        <w:jc w:val="left"/>
      </w:pPr>
      <w:r>
        <w:br w:type="page"/>
      </w:r>
    </w:p>
    <w:p>
      <w:pPr>
        <w:pStyle w:val="2"/>
      </w:pPr>
      <w:r>
        <w:tab/>
      </w:r>
      <w:r>
        <w:rPr>
          <w:rFonts w:hint="eastAsia"/>
        </w:rPr>
        <w:t>十、信誉要求证明</w:t>
      </w:r>
    </w:p>
    <w:p>
      <w:pPr>
        <w:ind w:firstLine="412" w:firstLineChars="200"/>
        <w:rPr>
          <w:rFonts w:ascii="楷体" w:hAnsi="楷体"/>
          <w:spacing w:val="-2"/>
          <w:szCs w:val="21"/>
        </w:rPr>
      </w:pPr>
      <w:r>
        <w:rPr>
          <w:rFonts w:hint="eastAsia" w:ascii="楷体" w:hAnsi="楷体"/>
          <w:spacing w:val="-2"/>
          <w:szCs w:val="21"/>
        </w:rPr>
        <w:t>不得被人民法院在“信用中国”网站（</w:t>
      </w:r>
      <w:r>
        <w:rPr>
          <w:rFonts w:ascii="楷体" w:hAnsi="楷体"/>
          <w:spacing w:val="-2"/>
          <w:szCs w:val="21"/>
        </w:rPr>
        <w:t>www.creditchina.gov.cn）和“国家企业信用信息公示系统”（www.gsxt.gov.cn）中列为失信被执行人；联合体投标的，联合体各方均不得被人民法院列为失信被执行人。需提供“信用中国”中信用截图以及“国家企业信用信息公示系统”中导出的公示信息；（需同时提供）</w:t>
      </w:r>
    </w:p>
    <w:p>
      <w:pPr>
        <w:ind w:firstLine="412" w:firstLineChars="200"/>
        <w:rPr>
          <w:rFonts w:ascii="楷体" w:hAnsi="楷体"/>
          <w:spacing w:val="-2"/>
          <w:szCs w:val="21"/>
        </w:rPr>
      </w:pPr>
      <w:r>
        <w:rPr>
          <w:rFonts w:hint="eastAsia" w:ascii="楷体" w:hAnsi="楷体"/>
          <w:spacing w:val="-2"/>
          <w:szCs w:val="21"/>
        </w:rPr>
        <w:t>四川大学为事业单位，在“信用中国”网站（</w:t>
      </w:r>
      <w:r>
        <w:rPr>
          <w:rFonts w:ascii="楷体" w:hAnsi="楷体"/>
          <w:spacing w:val="-2"/>
          <w:szCs w:val="21"/>
        </w:rPr>
        <w:t>www.creditchina.gov.cn）</w:t>
      </w:r>
      <w:r>
        <w:rPr>
          <w:rFonts w:hint="eastAsia" w:ascii="楷体" w:hAnsi="楷体"/>
          <w:spacing w:val="-2"/>
          <w:szCs w:val="21"/>
        </w:rPr>
        <w:t>截图如下：</w:t>
      </w:r>
    </w:p>
    <w:p>
      <w:pPr>
        <w:ind w:firstLine="420" w:firstLineChars="200"/>
        <w:rPr>
          <w:rFonts w:ascii="楷体" w:hAnsi="楷体"/>
          <w:szCs w:val="24"/>
        </w:rPr>
      </w:pPr>
      <w:r>
        <w:drawing>
          <wp:inline distT="0" distB="0" distL="0" distR="0">
            <wp:extent cx="5274310" cy="40347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a:stretch>
                      <a:fillRect/>
                    </a:stretch>
                  </pic:blipFill>
                  <pic:spPr>
                    <a:xfrm>
                      <a:off x="0" y="0"/>
                      <a:ext cx="5274310" cy="4034790"/>
                    </a:xfrm>
                    <a:prstGeom prst="rect">
                      <a:avLst/>
                    </a:prstGeom>
                  </pic:spPr>
                </pic:pic>
              </a:graphicData>
            </a:graphic>
          </wp:inline>
        </w:drawing>
      </w:r>
      <w:r>
        <w:drawing>
          <wp:inline distT="0" distB="0" distL="0" distR="0">
            <wp:extent cx="5274310" cy="411988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5274310" cy="4119880"/>
                    </a:xfrm>
                    <a:prstGeom prst="rect">
                      <a:avLst/>
                    </a:prstGeom>
                  </pic:spPr>
                </pic:pic>
              </a:graphicData>
            </a:graphic>
          </wp:inline>
        </w:drawing>
      </w:r>
    </w:p>
    <w:p>
      <w:pPr>
        <w:pStyle w:val="2"/>
      </w:pPr>
      <w:r>
        <w:rPr>
          <w:rFonts w:hint="eastAsia" w:cs="楷体"/>
          <w:sz w:val="32"/>
        </w:rPr>
        <w:br w:type="page"/>
      </w:r>
      <w:r>
        <w:rPr>
          <w:rFonts w:hint="eastAsia"/>
        </w:rPr>
        <w:t>十一、信誉要求的承诺函</w:t>
      </w:r>
    </w:p>
    <w:p>
      <w:pPr>
        <w:rPr>
          <w:rFonts w:ascii="楷体" w:hAnsi="楷体"/>
        </w:rPr>
      </w:pPr>
    </w:p>
    <w:p>
      <w:pPr>
        <w:rPr>
          <w:rFonts w:ascii="楷体" w:hAnsi="楷体" w:cs="楷体"/>
        </w:rPr>
      </w:pPr>
    </w:p>
    <w:p>
      <w:pPr>
        <w:rPr>
          <w:rFonts w:ascii="楷体" w:hAnsi="楷体" w:cs="楷体"/>
        </w:rPr>
      </w:pPr>
      <w:r>
        <w:rPr>
          <w:rFonts w:hint="eastAsia" w:ascii="楷体" w:hAnsi="楷体" w:cs="楷体"/>
          <w:u w:val="single"/>
        </w:rPr>
        <w:t xml:space="preserve">致  国网四川省电力公司成都供电公司 </w:t>
      </w:r>
      <w:r>
        <w:rPr>
          <w:rFonts w:hint="eastAsia" w:ascii="楷体" w:hAnsi="楷体" w:cs="楷体"/>
        </w:rPr>
        <w:t>（采购人名称）：</w:t>
      </w:r>
    </w:p>
    <w:p>
      <w:pPr>
        <w:spacing w:line="360" w:lineRule="auto"/>
        <w:rPr>
          <w:rFonts w:ascii="楷体" w:hAnsi="楷体" w:cs="楷体"/>
        </w:rPr>
      </w:pPr>
    </w:p>
    <w:p>
      <w:pPr>
        <w:spacing w:line="360" w:lineRule="auto"/>
        <w:ind w:firstLine="437"/>
        <w:rPr>
          <w:rFonts w:ascii="楷体" w:hAnsi="楷体" w:cs="楷体"/>
        </w:rPr>
      </w:pPr>
      <w:r>
        <w:rPr>
          <w:rFonts w:hint="eastAsia" w:ascii="楷体" w:hAnsi="楷体" w:cs="楷体"/>
        </w:rPr>
        <w:t>我公司承诺，开标日前三年内在采购活动、合同履行、现场服务过程中，未受到公开通报批评，不存在骗取中标或严重违约问题,不存在违反国家有关法律有关禁止分包规定的行为，未处于被责令停业、财产被冻结、接管、破产状态。</w:t>
      </w:r>
    </w:p>
    <w:p>
      <w:pPr>
        <w:spacing w:line="360" w:lineRule="auto"/>
        <w:rPr>
          <w:rFonts w:ascii="楷体" w:hAnsi="楷体" w:cs="楷体"/>
          <w:szCs w:val="21"/>
        </w:rPr>
      </w:pPr>
    </w:p>
    <w:p>
      <w:pPr>
        <w:spacing w:line="360" w:lineRule="auto"/>
        <w:rPr>
          <w:rFonts w:ascii="楷体" w:hAnsi="楷体" w:cs="楷体"/>
          <w:szCs w:val="21"/>
        </w:rPr>
      </w:pPr>
    </w:p>
    <w:p>
      <w:pPr>
        <w:spacing w:line="360" w:lineRule="auto"/>
        <w:rPr>
          <w:rFonts w:ascii="楷体" w:hAnsi="楷体" w:cs="楷体"/>
          <w:szCs w:val="21"/>
        </w:rPr>
      </w:pPr>
    </w:p>
    <w:p>
      <w:pPr>
        <w:pStyle w:val="259"/>
        <w:ind w:firstLine="420"/>
        <w:jc w:val="right"/>
        <w:rPr>
          <w:rFonts w:ascii="楷体" w:hAnsi="楷体" w:eastAsia="楷体"/>
          <w:szCs w:val="24"/>
        </w:rPr>
      </w:pPr>
      <w:r>
        <w:rPr>
          <w:rFonts w:hint="eastAsia" w:ascii="楷体" w:hAnsi="楷体" w:eastAsia="楷体"/>
        </w:rPr>
        <w:t>法定代表人或授权代表签字：____________</w:t>
      </w:r>
    </w:p>
    <w:p>
      <w:pPr>
        <w:pStyle w:val="259"/>
        <w:ind w:firstLine="420"/>
        <w:jc w:val="right"/>
        <w:rPr>
          <w:rFonts w:ascii="楷体" w:hAnsi="楷体" w:eastAsia="楷体"/>
        </w:rPr>
      </w:pPr>
      <w:r>
        <w:rPr>
          <w:rFonts w:hint="eastAsia" w:ascii="楷体" w:hAnsi="楷体" w:eastAsia="楷体"/>
        </w:rPr>
        <w:t>应答人公章：__</w:t>
      </w:r>
      <w:r>
        <w:rPr>
          <w:rFonts w:hint="eastAsia" w:ascii="楷体" w:hAnsi="楷体" w:eastAsia="楷体"/>
          <w:u w:val="single"/>
        </w:rPr>
        <w:t>四川大学</w:t>
      </w:r>
      <w:r>
        <w:rPr>
          <w:rFonts w:hint="eastAsia" w:ascii="楷体" w:hAnsi="楷体" w:eastAsia="楷体"/>
        </w:rPr>
        <w:t>__</w:t>
      </w:r>
    </w:p>
    <w:p>
      <w:pPr>
        <w:pStyle w:val="259"/>
        <w:ind w:firstLine="420"/>
        <w:jc w:val="right"/>
        <w:rPr>
          <w:rFonts w:ascii="楷体" w:hAnsi="楷体" w:eastAsia="楷体"/>
        </w:rPr>
      </w:pPr>
    </w:p>
    <w:p>
      <w:pPr>
        <w:jc w:val="right"/>
        <w:rPr>
          <w:rFonts w:ascii="楷体" w:hAnsi="楷体" w:cs="楷体"/>
          <w:b/>
          <w:bCs/>
          <w:color w:val="000000"/>
        </w:rPr>
      </w:pPr>
      <w:r>
        <w:rPr>
          <w:rFonts w:hint="eastAsia" w:ascii="楷体" w:hAnsi="楷体"/>
        </w:rPr>
        <w:t>2</w:t>
      </w:r>
      <w:r>
        <w:rPr>
          <w:rFonts w:ascii="楷体" w:hAnsi="楷体"/>
        </w:rPr>
        <w:t>020</w:t>
      </w:r>
      <w:r>
        <w:rPr>
          <w:rFonts w:hint="eastAsia" w:ascii="楷体" w:hAnsi="楷体"/>
        </w:rPr>
        <w:t>年</w:t>
      </w:r>
      <w:r>
        <w:rPr>
          <w:rFonts w:ascii="楷体" w:hAnsi="楷体"/>
        </w:rPr>
        <w:t xml:space="preserve"> 5 </w:t>
      </w:r>
      <w:r>
        <w:rPr>
          <w:rFonts w:hint="eastAsia" w:ascii="楷体" w:hAnsi="楷体"/>
        </w:rPr>
        <w:t>月</w:t>
      </w:r>
      <w:r>
        <w:rPr>
          <w:rFonts w:ascii="楷体" w:hAnsi="楷体"/>
        </w:rPr>
        <w:t xml:space="preserve"> 13 </w:t>
      </w:r>
      <w:r>
        <w:rPr>
          <w:rFonts w:hint="eastAsia" w:ascii="楷体" w:hAnsi="楷体"/>
        </w:rPr>
        <w:t>日</w:t>
      </w:r>
    </w:p>
    <w:p>
      <w:pPr>
        <w:spacing w:line="360" w:lineRule="auto"/>
        <w:rPr>
          <w:rFonts w:ascii="楷体" w:hAnsi="楷体"/>
          <w:b/>
          <w:sz w:val="32"/>
        </w:rPr>
      </w:pPr>
    </w:p>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indows 用户" w:date="2020-05-18T09:12:00Z" w:initials="W用">
    <w:p w14:paraId="11B41045">
      <w:pPr>
        <w:pStyle w:val="17"/>
      </w:pPr>
      <w:r>
        <w:rPr>
          <w:rFonts w:hint="eastAsia"/>
        </w:rPr>
        <w:t>小汤填一下</w:t>
      </w:r>
    </w:p>
  </w:comment>
  <w:comment w:id="1" w:author="Windows 用户" w:date="2020-05-18T09:12:00Z" w:initials="W用">
    <w:p w14:paraId="00A35E46">
      <w:pPr>
        <w:pStyle w:val="17"/>
      </w:pPr>
      <w:r>
        <w:rPr>
          <w:rFonts w:hint="eastAsia"/>
        </w:rPr>
        <w:t>小汤再按这个核算一下</w:t>
      </w:r>
    </w:p>
  </w:comment>
  <w:comment w:id="2" w:author="AORUS" w:date="2020-05-17T19:25:00Z" w:initials="A">
    <w:p w14:paraId="08715142">
      <w:pPr>
        <w:pStyle w:val="17"/>
      </w:pPr>
      <w:r>
        <w:t>补充</w:t>
      </w:r>
    </w:p>
  </w:comment>
  <w:comment w:id="3" w:author="AORUS" w:date="2020-05-17T19:25:00Z" w:initials="A">
    <w:p w14:paraId="7FD2372C">
      <w:pPr>
        <w:pStyle w:val="17"/>
      </w:pPr>
      <w:r>
        <w:t>补充</w:t>
      </w:r>
    </w:p>
  </w:comment>
  <w:comment w:id="4" w:author="Windows 用户" w:date="2020-05-18T09:31:00Z" w:initials="W用">
    <w:p w14:paraId="14BB7250">
      <w:pPr>
        <w:pStyle w:val="17"/>
      </w:pPr>
      <w:r>
        <w:rPr>
          <w:rFonts w:hint="eastAsia"/>
        </w:rPr>
        <w:t>补充</w:t>
      </w:r>
    </w:p>
  </w:comment>
  <w:comment w:id="5" w:author="Windows 用户" w:date="2020-05-18T09:28:00Z" w:initials="W用">
    <w:p w14:paraId="34376237">
      <w:pPr>
        <w:pStyle w:val="17"/>
      </w:pPr>
      <w:r>
        <w:rPr>
          <w:rFonts w:hint="eastAsia"/>
        </w:rPr>
        <w:t>把喜德故障指示器项目加入</w:t>
      </w:r>
    </w:p>
  </w:comment>
  <w:comment w:id="6" w:author="Windows 用户" w:date="2020-05-18T09:41:00Z" w:initials="W用">
    <w:p w14:paraId="1D8E44C9">
      <w:pPr>
        <w:pStyle w:val="17"/>
      </w:pPr>
      <w:r>
        <w:rPr>
          <w:rFonts w:hint="eastAsia"/>
        </w:rPr>
        <w:t>加喜德项目</w:t>
      </w:r>
    </w:p>
  </w:comment>
  <w:comment w:id="7" w:author="Windows 用户" w:date="2020-05-18T10:15:00Z" w:initials="W用">
    <w:p w14:paraId="63DD593F">
      <w:pPr>
        <w:pStyle w:val="17"/>
      </w:pPr>
      <w:r>
        <w:rPr>
          <w:rFonts w:hint="eastAsia"/>
        </w:rPr>
        <w:t>这个表要改，项目内容不是这个方向，</w:t>
      </w:r>
    </w:p>
    <w:p w14:paraId="795D1BE3">
      <w:pPr>
        <w:pStyle w:val="17"/>
      </w:pPr>
      <w:r>
        <w:rPr>
          <w:rFonts w:hint="eastAsia"/>
        </w:rPr>
        <w:t>在加几个硕士研究生，看看是否需加搞设备的老师</w:t>
      </w:r>
    </w:p>
  </w:comment>
  <w:comment w:id="8" w:author="Windows 用户" w:date="2020-05-18T10:20:00Z" w:initials="W用">
    <w:p w14:paraId="79E368BD">
      <w:pPr>
        <w:pStyle w:val="17"/>
      </w:pPr>
      <w:r>
        <w:rPr>
          <w:rFonts w:hint="eastAsia"/>
        </w:rPr>
        <w:t>这个怎么填</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1B41045" w15:done="0"/>
  <w15:commentEx w15:paraId="00A35E46" w15:done="0"/>
  <w15:commentEx w15:paraId="08715142" w15:done="0"/>
  <w15:commentEx w15:paraId="7FD2372C" w15:done="0"/>
  <w15:commentEx w15:paraId="14BB7250" w15:done="0"/>
  <w15:commentEx w15:paraId="34376237" w15:done="0"/>
  <w15:commentEx w15:paraId="1D8E44C9" w15:done="0"/>
  <w15:commentEx w15:paraId="795D1BE3" w15:done="0"/>
  <w15:commentEx w15:paraId="79E368B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EU-F1">
    <w:altName w:val="宋体"/>
    <w:panose1 w:val="00000000000000000000"/>
    <w:charset w:val="86"/>
    <w:family w:val="script"/>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仿宋_GBK">
    <w:panose1 w:val="02000000000000000000"/>
    <w:charset w:val="86"/>
    <w:family w:val="script"/>
    <w:pitch w:val="default"/>
    <w:sig w:usb0="A00002BF" w:usb1="38CF7CFA" w:usb2="00082016" w:usb3="00000000" w:csb0="00040001" w:csb1="00000000"/>
  </w:font>
  <w:font w:name="方正大标宋_GBK">
    <w:altName w:val="黑体"/>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ì.">
    <w:altName w:val="宋体"/>
    <w:panose1 w:val="00000000000000000000"/>
    <w:charset w:val="86"/>
    <w:family w:val="swiss"/>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none"/>
      <w:suff w:val="nothing"/>
      <w:lvlText w:val=""/>
      <w:lvlJc w:val="left"/>
      <w:pPr>
        <w:tabs>
          <w:tab w:val="left" w:pos="0"/>
        </w:tabs>
        <w:ind w:left="0" w:firstLine="0"/>
      </w:pPr>
    </w:lvl>
    <w:lvl w:ilvl="1" w:tentative="0">
      <w:start w:val="1"/>
      <w:numFmt w:val="none"/>
      <w:pStyle w:val="82"/>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
    <w:nsid w:val="0000000E"/>
    <w:multiLevelType w:val="multilevel"/>
    <w:tmpl w:val="0000000E"/>
    <w:lvl w:ilvl="0" w:tentative="0">
      <w:start w:val="1"/>
      <w:numFmt w:val="upperRoman"/>
      <w:lvlText w:val="第 %1 条"/>
      <w:lvlJc w:val="left"/>
      <w:pPr>
        <w:tabs>
          <w:tab w:val="left" w:pos="1440"/>
        </w:tabs>
        <w:ind w:left="0" w:firstLine="0"/>
      </w:pPr>
    </w:lvl>
    <w:lvl w:ilvl="1" w:tentative="0">
      <w:start w:val="1"/>
      <w:numFmt w:val="decimalZero"/>
      <w:isLgl/>
      <w:lvlText w:val="节 %1.%2"/>
      <w:lvlJc w:val="left"/>
      <w:pPr>
        <w:tabs>
          <w:tab w:val="left" w:pos="3870"/>
        </w:tabs>
        <w:ind w:left="3150" w:firstLine="0"/>
      </w:pPr>
    </w:lvl>
    <w:lvl w:ilvl="2" w:tentative="0">
      <w:start w:val="1"/>
      <w:numFmt w:val="lowerLetter"/>
      <w:pStyle w:val="280"/>
      <w:lvlText w:val="(%3)"/>
      <w:lvlJc w:val="left"/>
      <w:pPr>
        <w:tabs>
          <w:tab w:val="left" w:pos="720"/>
        </w:tabs>
        <w:ind w:left="720" w:hanging="432"/>
      </w:pPr>
    </w:lvl>
    <w:lvl w:ilvl="3" w:tentative="0">
      <w:start w:val="1"/>
      <w:numFmt w:val="lowerRoman"/>
      <w:lvlText w:val="(%4)"/>
      <w:lvlJc w:val="right"/>
      <w:pPr>
        <w:tabs>
          <w:tab w:val="left" w:pos="864"/>
        </w:tabs>
        <w:ind w:left="864" w:hanging="144"/>
      </w:pPr>
    </w:lvl>
    <w:lvl w:ilvl="4" w:tentative="0">
      <w:start w:val="1"/>
      <w:numFmt w:val="decimal"/>
      <w:lvlText w:val="%5)"/>
      <w:lvlJc w:val="left"/>
      <w:pPr>
        <w:tabs>
          <w:tab w:val="left" w:pos="1008"/>
        </w:tabs>
        <w:ind w:left="1008" w:hanging="432"/>
      </w:pPr>
    </w:lvl>
    <w:lvl w:ilvl="5" w:tentative="0">
      <w:start w:val="1"/>
      <w:numFmt w:val="lowerLetter"/>
      <w:lvlText w:val="%6)"/>
      <w:lvlJc w:val="left"/>
      <w:pPr>
        <w:tabs>
          <w:tab w:val="left" w:pos="1152"/>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2">
    <w:nsid w:val="06A221FE"/>
    <w:multiLevelType w:val="multilevel"/>
    <w:tmpl w:val="06A221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EC77C62"/>
    <w:multiLevelType w:val="multilevel"/>
    <w:tmpl w:val="1EC77C6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0481FBB"/>
    <w:multiLevelType w:val="multilevel"/>
    <w:tmpl w:val="20481FB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20BD1B6C"/>
    <w:multiLevelType w:val="multilevel"/>
    <w:tmpl w:val="20BD1B6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952664E"/>
    <w:multiLevelType w:val="multilevel"/>
    <w:tmpl w:val="295266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B0479DF"/>
    <w:multiLevelType w:val="multilevel"/>
    <w:tmpl w:val="2B0479D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42B447F3"/>
    <w:multiLevelType w:val="multilevel"/>
    <w:tmpl w:val="42B447F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4A9325FD"/>
    <w:multiLevelType w:val="multilevel"/>
    <w:tmpl w:val="4A9325F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AFF57C3"/>
    <w:multiLevelType w:val="multilevel"/>
    <w:tmpl w:val="4AFF57C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4E84564C"/>
    <w:multiLevelType w:val="multilevel"/>
    <w:tmpl w:val="4E84564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54FE51B4"/>
    <w:multiLevelType w:val="multilevel"/>
    <w:tmpl w:val="54FE51B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60184CF1"/>
    <w:multiLevelType w:val="multilevel"/>
    <w:tmpl w:val="60184CF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6D4D796D"/>
    <w:multiLevelType w:val="multilevel"/>
    <w:tmpl w:val="6D4D796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5"/>
  </w:num>
  <w:num w:numId="4">
    <w:abstractNumId w:val="14"/>
  </w:num>
  <w:num w:numId="5">
    <w:abstractNumId w:val="13"/>
  </w:num>
  <w:num w:numId="6">
    <w:abstractNumId w:val="4"/>
  </w:num>
  <w:num w:numId="7">
    <w:abstractNumId w:val="8"/>
  </w:num>
  <w:num w:numId="8">
    <w:abstractNumId w:val="7"/>
  </w:num>
  <w:num w:numId="9">
    <w:abstractNumId w:val="12"/>
  </w:num>
  <w:num w:numId="10">
    <w:abstractNumId w:val="3"/>
  </w:num>
  <w:num w:numId="11">
    <w:abstractNumId w:val="10"/>
  </w:num>
  <w:num w:numId="12">
    <w:abstractNumId w:val="9"/>
  </w:num>
  <w:num w:numId="13">
    <w:abstractNumId w:val="11"/>
  </w:num>
  <w:num w:numId="14">
    <w:abstractNumId w:val="2"/>
  </w:num>
  <w:num w:numId="15">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dows 用户">
    <w15:presenceInfo w15:providerId="None" w15:userId="Windows 用户"/>
  </w15:person>
  <w15:person w15:author="AORUS">
    <w15:presenceInfo w15:providerId="None" w15:userId="AOR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C05"/>
    <w:rsid w:val="0000093A"/>
    <w:rsid w:val="000026C1"/>
    <w:rsid w:val="00002F45"/>
    <w:rsid w:val="00013D64"/>
    <w:rsid w:val="00020C38"/>
    <w:rsid w:val="00022E49"/>
    <w:rsid w:val="000256DA"/>
    <w:rsid w:val="0002634B"/>
    <w:rsid w:val="00037AC7"/>
    <w:rsid w:val="00052187"/>
    <w:rsid w:val="00053117"/>
    <w:rsid w:val="00053180"/>
    <w:rsid w:val="00053D0C"/>
    <w:rsid w:val="00056332"/>
    <w:rsid w:val="00060596"/>
    <w:rsid w:val="00067256"/>
    <w:rsid w:val="000757A6"/>
    <w:rsid w:val="0008666E"/>
    <w:rsid w:val="00086F1F"/>
    <w:rsid w:val="0009777D"/>
    <w:rsid w:val="000A13FD"/>
    <w:rsid w:val="000B031E"/>
    <w:rsid w:val="000B280C"/>
    <w:rsid w:val="000C284B"/>
    <w:rsid w:val="000C3B97"/>
    <w:rsid w:val="000C59A5"/>
    <w:rsid w:val="000C5B42"/>
    <w:rsid w:val="000D20DE"/>
    <w:rsid w:val="000D2591"/>
    <w:rsid w:val="000D35B1"/>
    <w:rsid w:val="000E156E"/>
    <w:rsid w:val="000E3B8E"/>
    <w:rsid w:val="000E3FD9"/>
    <w:rsid w:val="000E6700"/>
    <w:rsid w:val="00113B34"/>
    <w:rsid w:val="00113FE2"/>
    <w:rsid w:val="00120AA7"/>
    <w:rsid w:val="00124110"/>
    <w:rsid w:val="00133244"/>
    <w:rsid w:val="00180A43"/>
    <w:rsid w:val="00182733"/>
    <w:rsid w:val="00182A08"/>
    <w:rsid w:val="00196A80"/>
    <w:rsid w:val="001C48F1"/>
    <w:rsid w:val="001C6D11"/>
    <w:rsid w:val="001C7E5F"/>
    <w:rsid w:val="001E4156"/>
    <w:rsid w:val="001E6F6F"/>
    <w:rsid w:val="001F32A4"/>
    <w:rsid w:val="001F3E2A"/>
    <w:rsid w:val="00202D5F"/>
    <w:rsid w:val="00206FF8"/>
    <w:rsid w:val="00210D89"/>
    <w:rsid w:val="00212968"/>
    <w:rsid w:val="00212B76"/>
    <w:rsid w:val="00231794"/>
    <w:rsid w:val="00241E61"/>
    <w:rsid w:val="002452DA"/>
    <w:rsid w:val="00247A58"/>
    <w:rsid w:val="0025105C"/>
    <w:rsid w:val="00260DA9"/>
    <w:rsid w:val="00262D22"/>
    <w:rsid w:val="00265C23"/>
    <w:rsid w:val="002750D4"/>
    <w:rsid w:val="00290829"/>
    <w:rsid w:val="00292BDA"/>
    <w:rsid w:val="002A58DE"/>
    <w:rsid w:val="002D133D"/>
    <w:rsid w:val="002D76D0"/>
    <w:rsid w:val="002E0C2E"/>
    <w:rsid w:val="002E6DE8"/>
    <w:rsid w:val="002E7400"/>
    <w:rsid w:val="002F136C"/>
    <w:rsid w:val="002F3857"/>
    <w:rsid w:val="002F6BE0"/>
    <w:rsid w:val="00302943"/>
    <w:rsid w:val="00312CC6"/>
    <w:rsid w:val="00312FA1"/>
    <w:rsid w:val="00315F36"/>
    <w:rsid w:val="00316F94"/>
    <w:rsid w:val="00331C05"/>
    <w:rsid w:val="003477FF"/>
    <w:rsid w:val="0036530A"/>
    <w:rsid w:val="0036605B"/>
    <w:rsid w:val="00371CA4"/>
    <w:rsid w:val="00372C4B"/>
    <w:rsid w:val="00377894"/>
    <w:rsid w:val="00392FAB"/>
    <w:rsid w:val="00395323"/>
    <w:rsid w:val="00396BF7"/>
    <w:rsid w:val="003A629E"/>
    <w:rsid w:val="003B310B"/>
    <w:rsid w:val="003B43C1"/>
    <w:rsid w:val="003B5CD2"/>
    <w:rsid w:val="003C0EAD"/>
    <w:rsid w:val="003C12AE"/>
    <w:rsid w:val="003D22B3"/>
    <w:rsid w:val="003D3986"/>
    <w:rsid w:val="003D6BA8"/>
    <w:rsid w:val="003F0006"/>
    <w:rsid w:val="003F0992"/>
    <w:rsid w:val="003F7BD9"/>
    <w:rsid w:val="004041FB"/>
    <w:rsid w:val="004052F7"/>
    <w:rsid w:val="0041058B"/>
    <w:rsid w:val="00414BD6"/>
    <w:rsid w:val="004161CC"/>
    <w:rsid w:val="00421B81"/>
    <w:rsid w:val="00426530"/>
    <w:rsid w:val="00436698"/>
    <w:rsid w:val="00436E2D"/>
    <w:rsid w:val="0043700B"/>
    <w:rsid w:val="0044055F"/>
    <w:rsid w:val="0045022B"/>
    <w:rsid w:val="00451DD4"/>
    <w:rsid w:val="00452782"/>
    <w:rsid w:val="00460E0B"/>
    <w:rsid w:val="00462699"/>
    <w:rsid w:val="00470440"/>
    <w:rsid w:val="004731D8"/>
    <w:rsid w:val="00473296"/>
    <w:rsid w:val="00474D80"/>
    <w:rsid w:val="00475FC3"/>
    <w:rsid w:val="00490827"/>
    <w:rsid w:val="004A7688"/>
    <w:rsid w:val="004B060C"/>
    <w:rsid w:val="004B3EC8"/>
    <w:rsid w:val="004C306C"/>
    <w:rsid w:val="004C326C"/>
    <w:rsid w:val="004D4514"/>
    <w:rsid w:val="004D4D8A"/>
    <w:rsid w:val="004E5D1C"/>
    <w:rsid w:val="004E641C"/>
    <w:rsid w:val="004E77AF"/>
    <w:rsid w:val="004F2132"/>
    <w:rsid w:val="00500E3A"/>
    <w:rsid w:val="00527BEE"/>
    <w:rsid w:val="005315D5"/>
    <w:rsid w:val="0053233B"/>
    <w:rsid w:val="0053424F"/>
    <w:rsid w:val="00534A20"/>
    <w:rsid w:val="00544560"/>
    <w:rsid w:val="00550C8D"/>
    <w:rsid w:val="005513BA"/>
    <w:rsid w:val="00576346"/>
    <w:rsid w:val="005831DF"/>
    <w:rsid w:val="00585EBF"/>
    <w:rsid w:val="005863C8"/>
    <w:rsid w:val="005B5CCF"/>
    <w:rsid w:val="005C045B"/>
    <w:rsid w:val="005C3791"/>
    <w:rsid w:val="005C66EB"/>
    <w:rsid w:val="005D1B59"/>
    <w:rsid w:val="005E4733"/>
    <w:rsid w:val="005F644B"/>
    <w:rsid w:val="00601288"/>
    <w:rsid w:val="0060318A"/>
    <w:rsid w:val="00605030"/>
    <w:rsid w:val="00605087"/>
    <w:rsid w:val="00610252"/>
    <w:rsid w:val="006173C9"/>
    <w:rsid w:val="006229D5"/>
    <w:rsid w:val="00633A50"/>
    <w:rsid w:val="00652F39"/>
    <w:rsid w:val="00656134"/>
    <w:rsid w:val="006A49A3"/>
    <w:rsid w:val="006C2EF6"/>
    <w:rsid w:val="006E36C7"/>
    <w:rsid w:val="00703A88"/>
    <w:rsid w:val="00705310"/>
    <w:rsid w:val="0071082A"/>
    <w:rsid w:val="007118B4"/>
    <w:rsid w:val="00713EE0"/>
    <w:rsid w:val="00717475"/>
    <w:rsid w:val="007176BE"/>
    <w:rsid w:val="00720555"/>
    <w:rsid w:val="00724E45"/>
    <w:rsid w:val="00741388"/>
    <w:rsid w:val="007425A5"/>
    <w:rsid w:val="007471B8"/>
    <w:rsid w:val="00750930"/>
    <w:rsid w:val="007521DB"/>
    <w:rsid w:val="00755920"/>
    <w:rsid w:val="00756D66"/>
    <w:rsid w:val="0076359E"/>
    <w:rsid w:val="0077478A"/>
    <w:rsid w:val="00785EED"/>
    <w:rsid w:val="007863DE"/>
    <w:rsid w:val="007935C1"/>
    <w:rsid w:val="00795176"/>
    <w:rsid w:val="007972D5"/>
    <w:rsid w:val="007A2D19"/>
    <w:rsid w:val="007A5104"/>
    <w:rsid w:val="007C3D34"/>
    <w:rsid w:val="007D3320"/>
    <w:rsid w:val="007D6191"/>
    <w:rsid w:val="007D6B11"/>
    <w:rsid w:val="007F0FE5"/>
    <w:rsid w:val="007F3252"/>
    <w:rsid w:val="007F6680"/>
    <w:rsid w:val="007F7C5D"/>
    <w:rsid w:val="0080168F"/>
    <w:rsid w:val="008030B9"/>
    <w:rsid w:val="00806ADD"/>
    <w:rsid w:val="008131E8"/>
    <w:rsid w:val="008311E3"/>
    <w:rsid w:val="00860400"/>
    <w:rsid w:val="00863E03"/>
    <w:rsid w:val="008645A1"/>
    <w:rsid w:val="00866997"/>
    <w:rsid w:val="008675F7"/>
    <w:rsid w:val="008719AB"/>
    <w:rsid w:val="008730FC"/>
    <w:rsid w:val="00882025"/>
    <w:rsid w:val="00884A2B"/>
    <w:rsid w:val="00887584"/>
    <w:rsid w:val="00893566"/>
    <w:rsid w:val="008A0D17"/>
    <w:rsid w:val="008B079C"/>
    <w:rsid w:val="008B6B60"/>
    <w:rsid w:val="008D5F00"/>
    <w:rsid w:val="008D697D"/>
    <w:rsid w:val="008E267D"/>
    <w:rsid w:val="008E4E5B"/>
    <w:rsid w:val="009154DC"/>
    <w:rsid w:val="00921DE9"/>
    <w:rsid w:val="0092209F"/>
    <w:rsid w:val="00924178"/>
    <w:rsid w:val="0093268B"/>
    <w:rsid w:val="00933B21"/>
    <w:rsid w:val="00940030"/>
    <w:rsid w:val="009418F1"/>
    <w:rsid w:val="00943771"/>
    <w:rsid w:val="009639EB"/>
    <w:rsid w:val="0096699B"/>
    <w:rsid w:val="0097330B"/>
    <w:rsid w:val="009740CA"/>
    <w:rsid w:val="00975852"/>
    <w:rsid w:val="0098114C"/>
    <w:rsid w:val="00995066"/>
    <w:rsid w:val="00997DD5"/>
    <w:rsid w:val="009A4A2C"/>
    <w:rsid w:val="009A61C3"/>
    <w:rsid w:val="009A6C7F"/>
    <w:rsid w:val="009C266D"/>
    <w:rsid w:val="009C3326"/>
    <w:rsid w:val="009C7B72"/>
    <w:rsid w:val="009D29B5"/>
    <w:rsid w:val="009D2D4E"/>
    <w:rsid w:val="009D3836"/>
    <w:rsid w:val="009E0E26"/>
    <w:rsid w:val="009F5EE5"/>
    <w:rsid w:val="00A13BC8"/>
    <w:rsid w:val="00A1712F"/>
    <w:rsid w:val="00A331A1"/>
    <w:rsid w:val="00A35044"/>
    <w:rsid w:val="00A35B1F"/>
    <w:rsid w:val="00A406A5"/>
    <w:rsid w:val="00A469F5"/>
    <w:rsid w:val="00A61B27"/>
    <w:rsid w:val="00A62383"/>
    <w:rsid w:val="00A65674"/>
    <w:rsid w:val="00A711D7"/>
    <w:rsid w:val="00A71C43"/>
    <w:rsid w:val="00A7560E"/>
    <w:rsid w:val="00A93178"/>
    <w:rsid w:val="00A97A2E"/>
    <w:rsid w:val="00A97E1F"/>
    <w:rsid w:val="00AA004A"/>
    <w:rsid w:val="00AA5576"/>
    <w:rsid w:val="00AC21A5"/>
    <w:rsid w:val="00AC3E6E"/>
    <w:rsid w:val="00AE207C"/>
    <w:rsid w:val="00AE64BB"/>
    <w:rsid w:val="00AF1C83"/>
    <w:rsid w:val="00AF6919"/>
    <w:rsid w:val="00AF76F0"/>
    <w:rsid w:val="00B0037D"/>
    <w:rsid w:val="00B12B80"/>
    <w:rsid w:val="00B238D9"/>
    <w:rsid w:val="00B278E6"/>
    <w:rsid w:val="00B37FFE"/>
    <w:rsid w:val="00B461D0"/>
    <w:rsid w:val="00B551D2"/>
    <w:rsid w:val="00B62764"/>
    <w:rsid w:val="00B640DB"/>
    <w:rsid w:val="00B87BBE"/>
    <w:rsid w:val="00BB4206"/>
    <w:rsid w:val="00BB4D1D"/>
    <w:rsid w:val="00BC5160"/>
    <w:rsid w:val="00BD177D"/>
    <w:rsid w:val="00C04272"/>
    <w:rsid w:val="00C126E5"/>
    <w:rsid w:val="00C15938"/>
    <w:rsid w:val="00C2105F"/>
    <w:rsid w:val="00C24ACF"/>
    <w:rsid w:val="00C27192"/>
    <w:rsid w:val="00C32F16"/>
    <w:rsid w:val="00C47CC5"/>
    <w:rsid w:val="00C60940"/>
    <w:rsid w:val="00C61DB1"/>
    <w:rsid w:val="00C919D8"/>
    <w:rsid w:val="00C9315A"/>
    <w:rsid w:val="00CA16B4"/>
    <w:rsid w:val="00CB51E8"/>
    <w:rsid w:val="00CB6586"/>
    <w:rsid w:val="00CC38DE"/>
    <w:rsid w:val="00CC4E7E"/>
    <w:rsid w:val="00CC6AC8"/>
    <w:rsid w:val="00CD113C"/>
    <w:rsid w:val="00CD4DCB"/>
    <w:rsid w:val="00CE2B21"/>
    <w:rsid w:val="00CE3126"/>
    <w:rsid w:val="00CF17DF"/>
    <w:rsid w:val="00CF3B43"/>
    <w:rsid w:val="00CF3E56"/>
    <w:rsid w:val="00D06EAF"/>
    <w:rsid w:val="00D14D4B"/>
    <w:rsid w:val="00D34772"/>
    <w:rsid w:val="00D40F94"/>
    <w:rsid w:val="00D468DE"/>
    <w:rsid w:val="00D5701A"/>
    <w:rsid w:val="00D57179"/>
    <w:rsid w:val="00D609D3"/>
    <w:rsid w:val="00D70E59"/>
    <w:rsid w:val="00D9151D"/>
    <w:rsid w:val="00D9157D"/>
    <w:rsid w:val="00D93DE4"/>
    <w:rsid w:val="00DD693E"/>
    <w:rsid w:val="00DE2FFB"/>
    <w:rsid w:val="00DE37E6"/>
    <w:rsid w:val="00DE66C6"/>
    <w:rsid w:val="00DF0E20"/>
    <w:rsid w:val="00DF20D1"/>
    <w:rsid w:val="00E024F2"/>
    <w:rsid w:val="00E06ED1"/>
    <w:rsid w:val="00E142F1"/>
    <w:rsid w:val="00E17862"/>
    <w:rsid w:val="00E224C7"/>
    <w:rsid w:val="00E3287D"/>
    <w:rsid w:val="00E33C1C"/>
    <w:rsid w:val="00E36EA2"/>
    <w:rsid w:val="00E53CB6"/>
    <w:rsid w:val="00E61236"/>
    <w:rsid w:val="00E66568"/>
    <w:rsid w:val="00E80485"/>
    <w:rsid w:val="00E812C0"/>
    <w:rsid w:val="00E83354"/>
    <w:rsid w:val="00E83C2A"/>
    <w:rsid w:val="00E83C67"/>
    <w:rsid w:val="00E90747"/>
    <w:rsid w:val="00E90D1D"/>
    <w:rsid w:val="00E97A66"/>
    <w:rsid w:val="00EA092D"/>
    <w:rsid w:val="00EB0C9E"/>
    <w:rsid w:val="00EB3C3A"/>
    <w:rsid w:val="00EB477A"/>
    <w:rsid w:val="00EC3519"/>
    <w:rsid w:val="00ED2DCB"/>
    <w:rsid w:val="00ED35B7"/>
    <w:rsid w:val="00EE317D"/>
    <w:rsid w:val="00EE325E"/>
    <w:rsid w:val="00EE7C6E"/>
    <w:rsid w:val="00F04C6E"/>
    <w:rsid w:val="00F215F6"/>
    <w:rsid w:val="00F27F9A"/>
    <w:rsid w:val="00F3030C"/>
    <w:rsid w:val="00F3040F"/>
    <w:rsid w:val="00F321D4"/>
    <w:rsid w:val="00F32B39"/>
    <w:rsid w:val="00F34611"/>
    <w:rsid w:val="00F37CB7"/>
    <w:rsid w:val="00F42E4D"/>
    <w:rsid w:val="00F44E34"/>
    <w:rsid w:val="00F52C71"/>
    <w:rsid w:val="00F54D97"/>
    <w:rsid w:val="00F56132"/>
    <w:rsid w:val="00F60E31"/>
    <w:rsid w:val="00F611F7"/>
    <w:rsid w:val="00F838C7"/>
    <w:rsid w:val="00F96F24"/>
    <w:rsid w:val="00FA459B"/>
    <w:rsid w:val="00FA6F47"/>
    <w:rsid w:val="00FA725C"/>
    <w:rsid w:val="00FB0391"/>
    <w:rsid w:val="00FB2E0F"/>
    <w:rsid w:val="00FB7D36"/>
    <w:rsid w:val="00FC021B"/>
    <w:rsid w:val="00FC44FB"/>
    <w:rsid w:val="00FD23A9"/>
    <w:rsid w:val="00FD43E8"/>
    <w:rsid w:val="00FD799C"/>
    <w:rsid w:val="00FE11B1"/>
    <w:rsid w:val="00FE5518"/>
    <w:rsid w:val="00FE5D99"/>
    <w:rsid w:val="00FE7868"/>
    <w:rsid w:val="00FF431A"/>
    <w:rsid w:val="40522B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unhideWhenUsed="0"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qFormat="1" w:unhideWhenUsed="0" w:uiPriority="0" w:semiHidden="0" w:name="List Continue 4"/>
    <w:lsdException w:qFormat="1" w:unhideWhenUsed="0" w:uiPriority="0" w:semiHidden="0"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黑体" w:hAnsi="黑体" w:eastAsia="楷体" w:cs="Times New Roman"/>
      <w:kern w:val="2"/>
      <w:sz w:val="21"/>
      <w:szCs w:val="20"/>
      <w:lang w:val="en-US" w:eastAsia="zh-CN" w:bidi="ar-SA"/>
    </w:rPr>
  </w:style>
  <w:style w:type="paragraph" w:styleId="2">
    <w:name w:val="heading 1"/>
    <w:basedOn w:val="1"/>
    <w:next w:val="1"/>
    <w:link w:val="58"/>
    <w:qFormat/>
    <w:uiPriority w:val="0"/>
    <w:pPr>
      <w:keepNext/>
      <w:keepLines/>
      <w:spacing w:before="340" w:after="330" w:line="576" w:lineRule="auto"/>
      <w:outlineLvl w:val="0"/>
    </w:pPr>
    <w:rPr>
      <w:b/>
      <w:kern w:val="44"/>
      <w:sz w:val="24"/>
    </w:rPr>
  </w:style>
  <w:style w:type="paragraph" w:styleId="3">
    <w:name w:val="heading 2"/>
    <w:basedOn w:val="1"/>
    <w:next w:val="1"/>
    <w:link w:val="59"/>
    <w:qFormat/>
    <w:uiPriority w:val="0"/>
    <w:pPr>
      <w:keepNext/>
      <w:keepLines/>
      <w:spacing w:before="260" w:after="260" w:line="413" w:lineRule="auto"/>
      <w:outlineLvl w:val="1"/>
    </w:pPr>
    <w:rPr>
      <w:rFonts w:ascii="Arial" w:hAnsi="Arial"/>
      <w:b/>
    </w:rPr>
  </w:style>
  <w:style w:type="paragraph" w:styleId="4">
    <w:name w:val="heading 3"/>
    <w:basedOn w:val="1"/>
    <w:next w:val="1"/>
    <w:link w:val="60"/>
    <w:qFormat/>
    <w:uiPriority w:val="0"/>
    <w:pPr>
      <w:keepNext/>
      <w:keepLines/>
      <w:spacing w:before="260" w:after="260" w:line="413" w:lineRule="auto"/>
      <w:outlineLvl w:val="2"/>
    </w:pPr>
    <w:rPr>
      <w:b/>
    </w:rPr>
  </w:style>
  <w:style w:type="paragraph" w:styleId="5">
    <w:name w:val="heading 4"/>
    <w:basedOn w:val="1"/>
    <w:next w:val="1"/>
    <w:link w:val="61"/>
    <w:qFormat/>
    <w:uiPriority w:val="0"/>
    <w:pPr>
      <w:keepNext/>
      <w:keepLines/>
      <w:spacing w:before="280" w:after="290" w:line="372" w:lineRule="auto"/>
      <w:outlineLvl w:val="3"/>
    </w:pPr>
    <w:rPr>
      <w:rFonts w:hint="eastAsia" w:ascii="Arial" w:hAnsi="Arial"/>
      <w:b/>
    </w:rPr>
  </w:style>
  <w:style w:type="paragraph" w:styleId="6">
    <w:name w:val="heading 5"/>
    <w:basedOn w:val="1"/>
    <w:next w:val="1"/>
    <w:link w:val="62"/>
    <w:qFormat/>
    <w:uiPriority w:val="0"/>
    <w:pPr>
      <w:keepNext/>
      <w:keepLines/>
      <w:tabs>
        <w:tab w:val="left" w:pos="1008"/>
      </w:tabs>
      <w:spacing w:before="280" w:after="290" w:line="376" w:lineRule="atLeast"/>
      <w:ind w:left="1008" w:hanging="432"/>
      <w:textAlignment w:val="baseline"/>
      <w:outlineLvl w:val="4"/>
    </w:pPr>
    <w:rPr>
      <w:rFonts w:hint="eastAsia"/>
      <w:b/>
      <w:sz w:val="28"/>
    </w:rPr>
  </w:style>
  <w:style w:type="paragraph" w:styleId="7">
    <w:name w:val="heading 6"/>
    <w:basedOn w:val="1"/>
    <w:next w:val="1"/>
    <w:link w:val="63"/>
    <w:qFormat/>
    <w:uiPriority w:val="0"/>
    <w:pPr>
      <w:keepNext/>
      <w:keepLines/>
      <w:widowControl/>
      <w:tabs>
        <w:tab w:val="left" w:pos="1440"/>
      </w:tabs>
      <w:spacing w:before="240" w:after="64" w:line="317" w:lineRule="auto"/>
      <w:ind w:left="1152" w:hanging="1152"/>
      <w:jc w:val="left"/>
      <w:outlineLvl w:val="5"/>
    </w:pPr>
    <w:rPr>
      <w:rFonts w:ascii="Arial" w:hAnsi="Arial" w:eastAsia="黑体"/>
      <w:b/>
      <w:kern w:val="0"/>
      <w:sz w:val="24"/>
    </w:rPr>
  </w:style>
  <w:style w:type="paragraph" w:styleId="8">
    <w:name w:val="heading 7"/>
    <w:basedOn w:val="1"/>
    <w:next w:val="1"/>
    <w:link w:val="64"/>
    <w:qFormat/>
    <w:uiPriority w:val="0"/>
    <w:pPr>
      <w:keepNext/>
      <w:keepLines/>
      <w:widowControl/>
      <w:tabs>
        <w:tab w:val="left" w:pos="2520"/>
      </w:tabs>
      <w:spacing w:before="240" w:after="64" w:line="317" w:lineRule="auto"/>
      <w:ind w:left="1296" w:hanging="1296"/>
      <w:jc w:val="left"/>
      <w:outlineLvl w:val="6"/>
    </w:pPr>
    <w:rPr>
      <w:b/>
      <w:kern w:val="0"/>
      <w:sz w:val="24"/>
    </w:rPr>
  </w:style>
  <w:style w:type="paragraph" w:styleId="9">
    <w:name w:val="heading 8"/>
    <w:basedOn w:val="1"/>
    <w:next w:val="1"/>
    <w:link w:val="65"/>
    <w:qFormat/>
    <w:uiPriority w:val="0"/>
    <w:pPr>
      <w:keepNext/>
      <w:keepLines/>
      <w:widowControl/>
      <w:tabs>
        <w:tab w:val="left" w:pos="1440"/>
      </w:tabs>
      <w:spacing w:before="240" w:after="64" w:line="317" w:lineRule="auto"/>
      <w:ind w:left="1440" w:hanging="1440"/>
      <w:jc w:val="left"/>
      <w:outlineLvl w:val="7"/>
    </w:pPr>
    <w:rPr>
      <w:rFonts w:ascii="Arial" w:hAnsi="Arial" w:eastAsia="黑体"/>
      <w:kern w:val="0"/>
      <w:sz w:val="24"/>
    </w:rPr>
  </w:style>
  <w:style w:type="paragraph" w:styleId="10">
    <w:name w:val="heading 9"/>
    <w:basedOn w:val="1"/>
    <w:next w:val="1"/>
    <w:link w:val="66"/>
    <w:qFormat/>
    <w:uiPriority w:val="0"/>
    <w:pPr>
      <w:keepNext/>
      <w:keepLines/>
      <w:widowControl/>
      <w:tabs>
        <w:tab w:val="left" w:pos="1584"/>
      </w:tabs>
      <w:spacing w:before="240" w:after="64" w:line="317" w:lineRule="auto"/>
      <w:ind w:left="1584" w:hanging="1584"/>
      <w:jc w:val="left"/>
      <w:outlineLvl w:val="8"/>
    </w:pPr>
    <w:rPr>
      <w:rFonts w:ascii="Arial" w:hAnsi="Arial" w:eastAsia="黑体"/>
      <w:kern w:val="0"/>
    </w:rPr>
  </w:style>
  <w:style w:type="character" w:default="1" w:styleId="51">
    <w:name w:val="Default Paragraph Font"/>
    <w:semiHidden/>
    <w:unhideWhenUsed/>
    <w:uiPriority w:val="1"/>
  </w:style>
  <w:style w:type="table" w:default="1" w:styleId="49">
    <w:name w:val="Normal Table"/>
    <w:semiHidden/>
    <w:unhideWhenUsed/>
    <w:uiPriority w:val="99"/>
    <w:tblPr>
      <w:tblCellMar>
        <w:top w:w="0" w:type="dxa"/>
        <w:left w:w="108" w:type="dxa"/>
        <w:bottom w:w="0" w:type="dxa"/>
        <w:right w:w="108" w:type="dxa"/>
      </w:tblCellMar>
    </w:tblPr>
  </w:style>
  <w:style w:type="paragraph" w:styleId="11">
    <w:name w:val="List 3"/>
    <w:basedOn w:val="1"/>
    <w:qFormat/>
    <w:uiPriority w:val="0"/>
    <w:pPr>
      <w:spacing w:line="312" w:lineRule="atLeast"/>
      <w:ind w:left="2100" w:hanging="420"/>
      <w:textAlignment w:val="baseline"/>
    </w:pPr>
    <w:rPr>
      <w:rFonts w:hint="eastAsia"/>
    </w:rPr>
  </w:style>
  <w:style w:type="paragraph" w:styleId="12">
    <w:name w:val="toc 7"/>
    <w:basedOn w:val="1"/>
    <w:next w:val="1"/>
    <w:qFormat/>
    <w:uiPriority w:val="0"/>
    <w:pPr>
      <w:ind w:left="1260"/>
      <w:jc w:val="left"/>
    </w:pPr>
    <w:rPr>
      <w:sz w:val="18"/>
    </w:rPr>
  </w:style>
  <w:style w:type="paragraph" w:styleId="13">
    <w:name w:val="List Number"/>
    <w:basedOn w:val="1"/>
    <w:uiPriority w:val="0"/>
    <w:pPr>
      <w:spacing w:line="312" w:lineRule="atLeast"/>
      <w:ind w:left="1260" w:hanging="420"/>
      <w:textAlignment w:val="baseline"/>
    </w:pPr>
    <w:rPr>
      <w:rFonts w:hint="eastAsia"/>
    </w:rPr>
  </w:style>
  <w:style w:type="paragraph" w:styleId="14">
    <w:name w:val="Normal Indent"/>
    <w:basedOn w:val="1"/>
    <w:uiPriority w:val="0"/>
    <w:pPr>
      <w:ind w:firstLine="420" w:firstLineChars="200"/>
    </w:pPr>
  </w:style>
  <w:style w:type="paragraph" w:styleId="15">
    <w:name w:val="List Bullet"/>
    <w:basedOn w:val="1"/>
    <w:uiPriority w:val="0"/>
    <w:pPr>
      <w:spacing w:line="312" w:lineRule="atLeast"/>
      <w:ind w:left="840" w:hanging="420"/>
      <w:textAlignment w:val="baseline"/>
    </w:pPr>
    <w:rPr>
      <w:rFonts w:hint="eastAsia"/>
    </w:rPr>
  </w:style>
  <w:style w:type="paragraph" w:styleId="16">
    <w:name w:val="Document Map"/>
    <w:basedOn w:val="1"/>
    <w:link w:val="121"/>
    <w:qFormat/>
    <w:uiPriority w:val="0"/>
    <w:pPr>
      <w:shd w:val="clear" w:color="auto" w:fill="000080"/>
    </w:pPr>
    <w:rPr>
      <w:rFonts w:asciiTheme="minorHAnsi" w:hAnsiTheme="minorHAnsi" w:eastAsiaTheme="minorEastAsia" w:cstheme="minorBidi"/>
      <w:szCs w:val="22"/>
      <w:shd w:val="clear" w:color="auto" w:fill="000080"/>
    </w:rPr>
  </w:style>
  <w:style w:type="paragraph" w:styleId="17">
    <w:name w:val="annotation text"/>
    <w:basedOn w:val="1"/>
    <w:link w:val="78"/>
    <w:qFormat/>
    <w:uiPriority w:val="99"/>
    <w:pPr>
      <w:jc w:val="left"/>
    </w:pPr>
    <w:rPr>
      <w:rFonts w:eastAsia="宋体" w:asciiTheme="minorHAnsi" w:hAnsiTheme="minorHAnsi" w:cstheme="minorBidi"/>
      <w:szCs w:val="22"/>
    </w:rPr>
  </w:style>
  <w:style w:type="paragraph" w:styleId="18">
    <w:name w:val="Body Text 3"/>
    <w:basedOn w:val="1"/>
    <w:link w:val="200"/>
    <w:uiPriority w:val="0"/>
    <w:rPr>
      <w:rFonts w:ascii="宋体"/>
      <w:sz w:val="24"/>
    </w:rPr>
  </w:style>
  <w:style w:type="paragraph" w:styleId="19">
    <w:name w:val="Body Text"/>
    <w:basedOn w:val="1"/>
    <w:link w:val="249"/>
    <w:uiPriority w:val="0"/>
    <w:pPr>
      <w:spacing w:after="120"/>
    </w:pPr>
  </w:style>
  <w:style w:type="paragraph" w:styleId="20">
    <w:name w:val="Body Text Indent"/>
    <w:basedOn w:val="1"/>
    <w:link w:val="222"/>
    <w:qFormat/>
    <w:uiPriority w:val="0"/>
    <w:pPr>
      <w:spacing w:after="120"/>
      <w:ind w:left="420" w:leftChars="200"/>
    </w:pPr>
  </w:style>
  <w:style w:type="paragraph" w:styleId="21">
    <w:name w:val="List 2"/>
    <w:basedOn w:val="1"/>
    <w:uiPriority w:val="0"/>
    <w:pPr>
      <w:ind w:left="100" w:leftChars="600" w:hanging="200" w:hangingChars="200"/>
    </w:pPr>
    <w:rPr>
      <w:rFonts w:hint="eastAsia"/>
    </w:rPr>
  </w:style>
  <w:style w:type="paragraph" w:styleId="22">
    <w:name w:val="List Continue"/>
    <w:basedOn w:val="1"/>
    <w:qFormat/>
    <w:uiPriority w:val="0"/>
    <w:pPr>
      <w:spacing w:after="120" w:line="312" w:lineRule="atLeast"/>
      <w:ind w:left="420"/>
      <w:textAlignment w:val="baseline"/>
    </w:pPr>
    <w:rPr>
      <w:rFonts w:hint="eastAsia"/>
    </w:rPr>
  </w:style>
  <w:style w:type="paragraph" w:styleId="23">
    <w:name w:val="toc 5"/>
    <w:basedOn w:val="1"/>
    <w:next w:val="1"/>
    <w:uiPriority w:val="0"/>
    <w:pPr>
      <w:ind w:left="840"/>
      <w:jc w:val="left"/>
    </w:pPr>
    <w:rPr>
      <w:sz w:val="18"/>
    </w:rPr>
  </w:style>
  <w:style w:type="paragraph" w:styleId="24">
    <w:name w:val="toc 3"/>
    <w:basedOn w:val="1"/>
    <w:next w:val="1"/>
    <w:qFormat/>
    <w:uiPriority w:val="0"/>
    <w:pPr>
      <w:ind w:left="420"/>
      <w:jc w:val="left"/>
    </w:pPr>
    <w:rPr>
      <w:i/>
      <w:sz w:val="20"/>
    </w:rPr>
  </w:style>
  <w:style w:type="paragraph" w:styleId="25">
    <w:name w:val="Plain Text"/>
    <w:basedOn w:val="1"/>
    <w:link w:val="94"/>
    <w:qFormat/>
    <w:uiPriority w:val="0"/>
    <w:rPr>
      <w:rFonts w:ascii="Courier New" w:hAnsi="Courier New" w:eastAsiaTheme="minorEastAsia" w:cstheme="minorBidi"/>
      <w:szCs w:val="22"/>
    </w:rPr>
  </w:style>
  <w:style w:type="paragraph" w:styleId="26">
    <w:name w:val="toc 8"/>
    <w:basedOn w:val="1"/>
    <w:next w:val="1"/>
    <w:qFormat/>
    <w:uiPriority w:val="0"/>
    <w:pPr>
      <w:ind w:left="1470"/>
      <w:jc w:val="left"/>
    </w:pPr>
    <w:rPr>
      <w:sz w:val="18"/>
    </w:rPr>
  </w:style>
  <w:style w:type="paragraph" w:styleId="27">
    <w:name w:val="Date"/>
    <w:basedOn w:val="1"/>
    <w:next w:val="1"/>
    <w:link w:val="100"/>
    <w:qFormat/>
    <w:uiPriority w:val="0"/>
    <w:rPr>
      <w:rFonts w:asciiTheme="minorHAnsi" w:hAnsiTheme="minorHAnsi" w:eastAsiaTheme="minorEastAsia" w:cstheme="minorBidi"/>
      <w:sz w:val="24"/>
      <w:szCs w:val="22"/>
    </w:rPr>
  </w:style>
  <w:style w:type="paragraph" w:styleId="28">
    <w:name w:val="Body Text Indent 2"/>
    <w:basedOn w:val="1"/>
    <w:link w:val="188"/>
    <w:uiPriority w:val="0"/>
    <w:pPr>
      <w:spacing w:line="360" w:lineRule="auto"/>
      <w:ind w:firstLine="567"/>
    </w:pPr>
    <w:rPr>
      <w:rFonts w:hint="eastAsia"/>
      <w:sz w:val="24"/>
    </w:rPr>
  </w:style>
  <w:style w:type="paragraph" w:styleId="29">
    <w:name w:val="List Continue 5"/>
    <w:basedOn w:val="1"/>
    <w:qFormat/>
    <w:uiPriority w:val="0"/>
    <w:pPr>
      <w:spacing w:after="120" w:line="312" w:lineRule="atLeast"/>
      <w:ind w:left="2100"/>
      <w:textAlignment w:val="baseline"/>
    </w:pPr>
    <w:rPr>
      <w:rFonts w:hint="eastAsia"/>
    </w:rPr>
  </w:style>
  <w:style w:type="paragraph" w:styleId="30">
    <w:name w:val="Balloon Text"/>
    <w:basedOn w:val="1"/>
    <w:link w:val="89"/>
    <w:qFormat/>
    <w:uiPriority w:val="0"/>
    <w:rPr>
      <w:rFonts w:asciiTheme="minorHAnsi" w:hAnsiTheme="minorHAnsi" w:eastAsiaTheme="minorEastAsia" w:cstheme="minorBidi"/>
      <w:sz w:val="18"/>
      <w:szCs w:val="22"/>
    </w:rPr>
  </w:style>
  <w:style w:type="paragraph" w:styleId="31">
    <w:name w:val="footer"/>
    <w:basedOn w:val="1"/>
    <w:link w:val="102"/>
    <w:qFormat/>
    <w:uiPriority w:val="0"/>
    <w:pPr>
      <w:tabs>
        <w:tab w:val="center" w:pos="4153"/>
        <w:tab w:val="right" w:pos="8306"/>
      </w:tabs>
      <w:snapToGrid w:val="0"/>
      <w:jc w:val="left"/>
    </w:pPr>
    <w:rPr>
      <w:rFonts w:asciiTheme="minorHAnsi" w:hAnsiTheme="minorHAnsi" w:eastAsiaTheme="minorEastAsia" w:cstheme="minorBidi"/>
      <w:sz w:val="18"/>
      <w:szCs w:val="22"/>
    </w:rPr>
  </w:style>
  <w:style w:type="paragraph" w:styleId="32">
    <w:name w:val="header"/>
    <w:basedOn w:val="1"/>
    <w:link w:val="106"/>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22"/>
    </w:rPr>
  </w:style>
  <w:style w:type="paragraph" w:styleId="33">
    <w:name w:val="toc 1"/>
    <w:basedOn w:val="1"/>
    <w:next w:val="1"/>
    <w:uiPriority w:val="0"/>
    <w:pPr>
      <w:spacing w:before="120" w:after="120"/>
      <w:jc w:val="left"/>
    </w:pPr>
    <w:rPr>
      <w:b/>
      <w:caps/>
      <w:sz w:val="20"/>
    </w:rPr>
  </w:style>
  <w:style w:type="paragraph" w:styleId="34">
    <w:name w:val="List Continue 4"/>
    <w:basedOn w:val="1"/>
    <w:qFormat/>
    <w:uiPriority w:val="0"/>
    <w:pPr>
      <w:spacing w:after="120" w:line="312" w:lineRule="atLeast"/>
      <w:ind w:left="1680"/>
      <w:textAlignment w:val="baseline"/>
    </w:pPr>
    <w:rPr>
      <w:rFonts w:hint="eastAsia"/>
    </w:rPr>
  </w:style>
  <w:style w:type="paragraph" w:styleId="35">
    <w:name w:val="toc 4"/>
    <w:basedOn w:val="1"/>
    <w:next w:val="1"/>
    <w:qFormat/>
    <w:uiPriority w:val="0"/>
    <w:pPr>
      <w:ind w:left="630"/>
      <w:jc w:val="left"/>
    </w:pPr>
    <w:rPr>
      <w:sz w:val="18"/>
    </w:rPr>
  </w:style>
  <w:style w:type="paragraph" w:styleId="36">
    <w:name w:val="List"/>
    <w:basedOn w:val="1"/>
    <w:uiPriority w:val="0"/>
    <w:pPr>
      <w:ind w:left="200" w:hanging="200" w:hangingChars="200"/>
    </w:pPr>
    <w:rPr>
      <w:rFonts w:hint="eastAsia"/>
    </w:rPr>
  </w:style>
  <w:style w:type="paragraph" w:styleId="37">
    <w:name w:val="footnote text"/>
    <w:basedOn w:val="1"/>
    <w:link w:val="75"/>
    <w:qFormat/>
    <w:uiPriority w:val="0"/>
    <w:rPr>
      <w:rFonts w:asciiTheme="minorHAnsi" w:hAnsiTheme="minorHAnsi" w:eastAsiaTheme="minorEastAsia" w:cstheme="minorBidi"/>
      <w:szCs w:val="22"/>
    </w:rPr>
  </w:style>
  <w:style w:type="paragraph" w:styleId="38">
    <w:name w:val="toc 6"/>
    <w:basedOn w:val="1"/>
    <w:next w:val="1"/>
    <w:uiPriority w:val="0"/>
    <w:pPr>
      <w:ind w:left="1050"/>
      <w:jc w:val="left"/>
    </w:pPr>
    <w:rPr>
      <w:sz w:val="18"/>
    </w:rPr>
  </w:style>
  <w:style w:type="paragraph" w:styleId="39">
    <w:name w:val="Body Text Indent 3"/>
    <w:basedOn w:val="1"/>
    <w:link w:val="325"/>
    <w:qFormat/>
    <w:uiPriority w:val="0"/>
    <w:pPr>
      <w:spacing w:after="120"/>
      <w:ind w:left="420" w:leftChars="200"/>
    </w:pPr>
    <w:rPr>
      <w:sz w:val="16"/>
    </w:rPr>
  </w:style>
  <w:style w:type="paragraph" w:styleId="40">
    <w:name w:val="table of figures"/>
    <w:basedOn w:val="1"/>
    <w:next w:val="1"/>
    <w:qFormat/>
    <w:uiPriority w:val="0"/>
    <w:pPr>
      <w:ind w:left="200" w:leftChars="200" w:hanging="200" w:hangingChars="200"/>
    </w:pPr>
  </w:style>
  <w:style w:type="paragraph" w:styleId="41">
    <w:name w:val="toc 2"/>
    <w:basedOn w:val="1"/>
    <w:next w:val="1"/>
    <w:link w:val="109"/>
    <w:uiPriority w:val="0"/>
    <w:pPr>
      <w:ind w:left="210"/>
      <w:jc w:val="left"/>
    </w:pPr>
    <w:rPr>
      <w:rFonts w:eastAsia="宋体" w:asciiTheme="minorHAnsi" w:hAnsiTheme="minorHAnsi" w:cstheme="minorBidi"/>
      <w:sz w:val="24"/>
      <w:szCs w:val="22"/>
    </w:rPr>
  </w:style>
  <w:style w:type="paragraph" w:styleId="42">
    <w:name w:val="toc 9"/>
    <w:basedOn w:val="1"/>
    <w:next w:val="1"/>
    <w:qFormat/>
    <w:uiPriority w:val="0"/>
    <w:pPr>
      <w:ind w:left="1680"/>
      <w:jc w:val="left"/>
    </w:pPr>
    <w:rPr>
      <w:sz w:val="18"/>
    </w:rPr>
  </w:style>
  <w:style w:type="paragraph" w:styleId="43">
    <w:name w:val="List Continue 2"/>
    <w:basedOn w:val="1"/>
    <w:qFormat/>
    <w:uiPriority w:val="0"/>
    <w:pPr>
      <w:spacing w:after="120" w:line="312" w:lineRule="atLeast"/>
      <w:ind w:left="840"/>
      <w:textAlignment w:val="baseline"/>
    </w:pPr>
    <w:rPr>
      <w:rFonts w:hint="eastAsia"/>
    </w:rPr>
  </w:style>
  <w:style w:type="paragraph" w:styleId="44">
    <w:name w:val="Normal (Web)"/>
    <w:basedOn w:val="1"/>
    <w:qFormat/>
    <w:uiPriority w:val="0"/>
    <w:pPr>
      <w:widowControl/>
      <w:topLinePunct/>
      <w:spacing w:before="100" w:beforeAutospacing="1" w:after="100" w:afterAutospacing="1"/>
      <w:jc w:val="left"/>
    </w:pPr>
    <w:rPr>
      <w:rFonts w:ascii="宋体" w:hAnsi="宋体"/>
      <w:kern w:val="0"/>
      <w:sz w:val="24"/>
    </w:rPr>
  </w:style>
  <w:style w:type="paragraph" w:styleId="45">
    <w:name w:val="Title"/>
    <w:basedOn w:val="1"/>
    <w:link w:val="125"/>
    <w:qFormat/>
    <w:uiPriority w:val="0"/>
    <w:pPr>
      <w:adjustRightInd w:val="0"/>
      <w:spacing w:before="240" w:after="60" w:line="420" w:lineRule="atLeast"/>
      <w:jc w:val="center"/>
      <w:textAlignment w:val="baseline"/>
      <w:outlineLvl w:val="0"/>
    </w:pPr>
    <w:rPr>
      <w:rFonts w:ascii="Arial" w:hAnsi="Arial"/>
      <w:b/>
      <w:kern w:val="0"/>
      <w:sz w:val="32"/>
    </w:rPr>
  </w:style>
  <w:style w:type="paragraph" w:styleId="46">
    <w:name w:val="annotation subject"/>
    <w:basedOn w:val="17"/>
    <w:next w:val="17"/>
    <w:link w:val="93"/>
    <w:qFormat/>
    <w:uiPriority w:val="0"/>
    <w:rPr>
      <w:rFonts w:eastAsiaTheme="minorEastAsia"/>
      <w:b/>
    </w:rPr>
  </w:style>
  <w:style w:type="paragraph" w:styleId="47">
    <w:name w:val="Body Text First Indent"/>
    <w:basedOn w:val="19"/>
    <w:link w:val="263"/>
    <w:qFormat/>
    <w:uiPriority w:val="0"/>
    <w:pPr>
      <w:spacing w:line="312" w:lineRule="atLeast"/>
      <w:ind w:firstLine="420"/>
      <w:textAlignment w:val="baseline"/>
    </w:pPr>
    <w:rPr>
      <w:rFonts w:hint="eastAsia"/>
    </w:rPr>
  </w:style>
  <w:style w:type="paragraph" w:styleId="48">
    <w:name w:val="Body Text First Indent 2"/>
    <w:basedOn w:val="20"/>
    <w:link w:val="223"/>
    <w:qFormat/>
    <w:uiPriority w:val="0"/>
    <w:pPr>
      <w:spacing w:line="312" w:lineRule="atLeast"/>
      <w:ind w:left="0" w:leftChars="0" w:firstLine="420"/>
      <w:textAlignment w:val="baseline"/>
    </w:pPr>
    <w:rPr>
      <w:rFonts w:hint="eastAsia"/>
    </w:rPr>
  </w:style>
  <w:style w:type="table" w:styleId="50">
    <w:name w:val="Table Grid"/>
    <w:basedOn w:val="49"/>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rFonts w:hint="default"/>
      <w:b/>
    </w:rPr>
  </w:style>
  <w:style w:type="character" w:styleId="53">
    <w:name w:val="page number"/>
    <w:basedOn w:val="51"/>
    <w:uiPriority w:val="0"/>
  </w:style>
  <w:style w:type="character" w:styleId="54">
    <w:name w:val="FollowedHyperlink"/>
    <w:uiPriority w:val="99"/>
    <w:rPr>
      <w:color w:val="800080"/>
      <w:u w:val="single"/>
    </w:rPr>
  </w:style>
  <w:style w:type="character" w:styleId="55">
    <w:name w:val="Hyperlink"/>
    <w:qFormat/>
    <w:uiPriority w:val="0"/>
    <w:rPr>
      <w:color w:val="0000FF"/>
      <w:u w:val="single"/>
    </w:rPr>
  </w:style>
  <w:style w:type="character" w:styleId="56">
    <w:name w:val="annotation reference"/>
    <w:uiPriority w:val="99"/>
    <w:rPr>
      <w:sz w:val="21"/>
    </w:rPr>
  </w:style>
  <w:style w:type="character" w:styleId="57">
    <w:name w:val="footnote reference"/>
    <w:qFormat/>
    <w:uiPriority w:val="0"/>
    <w:rPr>
      <w:vertAlign w:val="superscript"/>
    </w:rPr>
  </w:style>
  <w:style w:type="character" w:customStyle="1" w:styleId="58">
    <w:name w:val="标题 1 字符"/>
    <w:basedOn w:val="51"/>
    <w:link w:val="2"/>
    <w:uiPriority w:val="0"/>
    <w:rPr>
      <w:rFonts w:ascii="黑体" w:hAnsi="黑体" w:eastAsia="楷体" w:cs="Times New Roman"/>
      <w:b/>
      <w:kern w:val="44"/>
      <w:sz w:val="24"/>
      <w:szCs w:val="20"/>
    </w:rPr>
  </w:style>
  <w:style w:type="character" w:customStyle="1" w:styleId="59">
    <w:name w:val="标题 2 字符"/>
    <w:basedOn w:val="51"/>
    <w:link w:val="3"/>
    <w:qFormat/>
    <w:uiPriority w:val="0"/>
    <w:rPr>
      <w:rFonts w:ascii="Arial" w:hAnsi="Arial" w:eastAsia="楷体" w:cs="Times New Roman"/>
      <w:b/>
      <w:szCs w:val="20"/>
    </w:rPr>
  </w:style>
  <w:style w:type="character" w:customStyle="1" w:styleId="60">
    <w:name w:val="标题 3 字符"/>
    <w:basedOn w:val="51"/>
    <w:link w:val="4"/>
    <w:uiPriority w:val="0"/>
    <w:rPr>
      <w:rFonts w:ascii="黑体" w:hAnsi="黑体" w:eastAsia="楷体" w:cs="Times New Roman"/>
      <w:b/>
      <w:szCs w:val="20"/>
    </w:rPr>
  </w:style>
  <w:style w:type="character" w:customStyle="1" w:styleId="61">
    <w:name w:val="标题 4 字符"/>
    <w:basedOn w:val="51"/>
    <w:link w:val="5"/>
    <w:qFormat/>
    <w:uiPriority w:val="0"/>
    <w:rPr>
      <w:rFonts w:ascii="Arial" w:hAnsi="Arial" w:eastAsia="楷体" w:cs="Times New Roman"/>
      <w:b/>
      <w:szCs w:val="20"/>
    </w:rPr>
  </w:style>
  <w:style w:type="character" w:customStyle="1" w:styleId="62">
    <w:name w:val="标题 5 字符"/>
    <w:basedOn w:val="51"/>
    <w:link w:val="6"/>
    <w:qFormat/>
    <w:uiPriority w:val="0"/>
    <w:rPr>
      <w:rFonts w:ascii="黑体" w:hAnsi="黑体" w:eastAsia="楷体" w:cs="Times New Roman"/>
      <w:b/>
      <w:sz w:val="28"/>
      <w:szCs w:val="20"/>
    </w:rPr>
  </w:style>
  <w:style w:type="character" w:customStyle="1" w:styleId="63">
    <w:name w:val="标题 6 字符"/>
    <w:basedOn w:val="51"/>
    <w:link w:val="7"/>
    <w:uiPriority w:val="0"/>
    <w:rPr>
      <w:rFonts w:ascii="Arial" w:hAnsi="Arial" w:eastAsia="黑体" w:cs="Times New Roman"/>
      <w:b/>
      <w:kern w:val="0"/>
      <w:sz w:val="24"/>
      <w:szCs w:val="20"/>
    </w:rPr>
  </w:style>
  <w:style w:type="character" w:customStyle="1" w:styleId="64">
    <w:name w:val="标题 7 字符"/>
    <w:basedOn w:val="51"/>
    <w:link w:val="8"/>
    <w:uiPriority w:val="0"/>
    <w:rPr>
      <w:rFonts w:ascii="黑体" w:hAnsi="黑体" w:eastAsia="楷体" w:cs="Times New Roman"/>
      <w:b/>
      <w:kern w:val="0"/>
      <w:sz w:val="24"/>
      <w:szCs w:val="20"/>
    </w:rPr>
  </w:style>
  <w:style w:type="character" w:customStyle="1" w:styleId="65">
    <w:name w:val="标题 8 字符"/>
    <w:basedOn w:val="51"/>
    <w:link w:val="9"/>
    <w:uiPriority w:val="0"/>
    <w:rPr>
      <w:rFonts w:ascii="Arial" w:hAnsi="Arial" w:eastAsia="黑体" w:cs="Times New Roman"/>
      <w:kern w:val="0"/>
      <w:sz w:val="24"/>
      <w:szCs w:val="20"/>
    </w:rPr>
  </w:style>
  <w:style w:type="character" w:customStyle="1" w:styleId="66">
    <w:name w:val="标题 9 字符"/>
    <w:basedOn w:val="51"/>
    <w:link w:val="10"/>
    <w:uiPriority w:val="0"/>
    <w:rPr>
      <w:rFonts w:ascii="Arial" w:hAnsi="Arial" w:eastAsia="黑体" w:cs="Times New Roman"/>
      <w:kern w:val="0"/>
      <w:szCs w:val="20"/>
    </w:rPr>
  </w:style>
  <w:style w:type="character" w:customStyle="1" w:styleId="67">
    <w:name w:val="默认段落字体 New"/>
    <w:uiPriority w:val="0"/>
    <w:rPr>
      <w:rFonts w:eastAsia="宋体"/>
      <w:kern w:val="2"/>
      <w:sz w:val="21"/>
      <w:lang w:val="en-US" w:eastAsia="zh-CN"/>
    </w:rPr>
  </w:style>
  <w:style w:type="character" w:customStyle="1" w:styleId="68">
    <w:name w:val="Char Char8"/>
    <w:link w:val="69"/>
    <w:uiPriority w:val="0"/>
    <w:rPr>
      <w:rFonts w:eastAsia="楷体"/>
      <w:b/>
      <w:kern w:val="1"/>
      <w:sz w:val="32"/>
      <w:lang w:eastAsia="ar-SA"/>
    </w:rPr>
  </w:style>
  <w:style w:type="paragraph" w:customStyle="1" w:styleId="69">
    <w:name w:val="标题 1 New"/>
    <w:basedOn w:val="70"/>
    <w:next w:val="70"/>
    <w:link w:val="68"/>
    <w:qFormat/>
    <w:uiPriority w:val="0"/>
    <w:pPr>
      <w:keepNext/>
      <w:tabs>
        <w:tab w:val="left" w:pos="0"/>
      </w:tabs>
      <w:spacing w:line="312" w:lineRule="atLeast"/>
      <w:textAlignment w:val="baseline"/>
      <w:outlineLvl w:val="0"/>
    </w:pPr>
    <w:rPr>
      <w:rFonts w:hint="default" w:eastAsia="楷体" w:asciiTheme="minorHAnsi" w:hAnsiTheme="minorHAnsi" w:cstheme="minorBidi"/>
      <w:b/>
      <w:sz w:val="32"/>
      <w:szCs w:val="22"/>
    </w:rPr>
  </w:style>
  <w:style w:type="paragraph" w:customStyle="1" w:styleId="70">
    <w:name w:val="正文 New New New New New New New New New New New New New New New New New New New New New New New New New New New New New New New New New New New New New New New New New New"/>
    <w:qFormat/>
    <w:uiPriority w:val="0"/>
    <w:pPr>
      <w:widowControl w:val="0"/>
      <w:suppressAutoHyphens/>
      <w:jc w:val="both"/>
    </w:pPr>
    <w:rPr>
      <w:rFonts w:hint="eastAsia" w:ascii="Times New Roman" w:hAnsi="Times New Roman" w:eastAsia="宋体" w:cs="Times New Roman"/>
      <w:kern w:val="1"/>
      <w:sz w:val="21"/>
      <w:szCs w:val="20"/>
      <w:lang w:val="en-US" w:eastAsia="ar-SA" w:bidi="ar-SA"/>
    </w:rPr>
  </w:style>
  <w:style w:type="character" w:customStyle="1" w:styleId="71">
    <w:name w:val="p0 Char Char"/>
    <w:link w:val="72"/>
    <w:qFormat/>
    <w:locked/>
    <w:uiPriority w:val="0"/>
    <w:rPr>
      <w:rFonts w:ascii="黑体" w:hAnsi="黑体" w:eastAsia="楷体"/>
    </w:rPr>
  </w:style>
  <w:style w:type="paragraph" w:customStyle="1" w:styleId="72">
    <w:name w:val="p0"/>
    <w:basedOn w:val="1"/>
    <w:link w:val="71"/>
    <w:qFormat/>
    <w:uiPriority w:val="0"/>
    <w:pPr>
      <w:widowControl/>
    </w:pPr>
    <w:rPr>
      <w:rFonts w:cstheme="minorBidi"/>
      <w:szCs w:val="22"/>
    </w:rPr>
  </w:style>
  <w:style w:type="character" w:customStyle="1" w:styleId="73">
    <w:name w:val="d3 Char Char"/>
    <w:link w:val="74"/>
    <w:qFormat/>
    <w:uiPriority w:val="0"/>
    <w:rPr>
      <w:rFonts w:ascii="黑体" w:eastAsia="黑体"/>
      <w:snapToGrid w:val="0"/>
      <w:color w:val="000000"/>
      <w:kern w:val="21"/>
    </w:rPr>
  </w:style>
  <w:style w:type="paragraph" w:customStyle="1" w:styleId="74">
    <w:name w:val="d3"/>
    <w:basedOn w:val="1"/>
    <w:link w:val="73"/>
    <w:uiPriority w:val="0"/>
    <w:pPr>
      <w:topLinePunct/>
    </w:pPr>
    <w:rPr>
      <w:rFonts w:eastAsia="黑体" w:hAnsiTheme="minorHAnsi" w:cstheme="minorBidi"/>
      <w:snapToGrid w:val="0"/>
      <w:color w:val="000000"/>
      <w:kern w:val="21"/>
      <w:szCs w:val="22"/>
    </w:rPr>
  </w:style>
  <w:style w:type="character" w:customStyle="1" w:styleId="75">
    <w:name w:val="脚注文本 字符"/>
    <w:link w:val="37"/>
    <w:qFormat/>
    <w:uiPriority w:val="0"/>
  </w:style>
  <w:style w:type="character" w:customStyle="1" w:styleId="76">
    <w:name w:val="s11"/>
    <w:uiPriority w:val="0"/>
    <w:rPr>
      <w:rFonts w:hint="default" w:ascii="Times New Roman"/>
      <w:sz w:val="18"/>
    </w:rPr>
  </w:style>
  <w:style w:type="character" w:customStyle="1" w:styleId="77">
    <w:name w:val="默认段落字体1"/>
    <w:uiPriority w:val="0"/>
    <w:rPr>
      <w:rFonts w:hint="default"/>
    </w:rPr>
  </w:style>
  <w:style w:type="character" w:customStyle="1" w:styleId="78">
    <w:name w:val="批注文字 字符"/>
    <w:link w:val="17"/>
    <w:qFormat/>
    <w:uiPriority w:val="99"/>
    <w:rPr>
      <w:rFonts w:eastAsia="宋体"/>
    </w:rPr>
  </w:style>
  <w:style w:type="character" w:customStyle="1" w:styleId="79">
    <w:name w:val="无间隔 字符"/>
    <w:link w:val="80"/>
    <w:uiPriority w:val="0"/>
    <w:rPr>
      <w:sz w:val="22"/>
    </w:rPr>
  </w:style>
  <w:style w:type="paragraph" w:styleId="80">
    <w:name w:val="No Spacing"/>
    <w:link w:val="79"/>
    <w:qFormat/>
    <w:uiPriority w:val="0"/>
    <w:rPr>
      <w:rFonts w:asciiTheme="minorHAnsi" w:hAnsiTheme="minorHAnsi" w:eastAsiaTheme="minorEastAsia" w:cstheme="minorBidi"/>
      <w:kern w:val="2"/>
      <w:sz w:val="22"/>
      <w:szCs w:val="22"/>
      <w:lang w:val="en-US" w:eastAsia="zh-CN" w:bidi="ar-SA"/>
    </w:rPr>
  </w:style>
  <w:style w:type="character" w:customStyle="1" w:styleId="81">
    <w:name w:val="标题 2 New Char Char"/>
    <w:link w:val="82"/>
    <w:qFormat/>
    <w:uiPriority w:val="0"/>
    <w:rPr>
      <w:rFonts w:ascii="Arial" w:hAnsi="Arial" w:eastAsia="黑体"/>
      <w:b/>
      <w:sz w:val="32"/>
    </w:rPr>
  </w:style>
  <w:style w:type="paragraph" w:customStyle="1" w:styleId="82">
    <w:name w:val="标题 2 New"/>
    <w:basedOn w:val="83"/>
    <w:next w:val="83"/>
    <w:link w:val="81"/>
    <w:qFormat/>
    <w:uiPriority w:val="0"/>
    <w:pPr>
      <w:keepNext/>
      <w:keepLines/>
      <w:numPr>
        <w:ilvl w:val="1"/>
        <w:numId w:val="1"/>
      </w:numPr>
      <w:spacing w:before="260" w:after="260" w:line="413" w:lineRule="auto"/>
      <w:outlineLvl w:val="1"/>
    </w:pPr>
    <w:rPr>
      <w:rFonts w:ascii="Arial" w:hAnsi="Arial" w:eastAsia="黑体" w:cstheme="minorBidi"/>
      <w:b/>
      <w:kern w:val="2"/>
      <w:sz w:val="32"/>
      <w:szCs w:val="22"/>
      <w:lang w:eastAsia="zh-CN"/>
    </w:rPr>
  </w:style>
  <w:style w:type="paragraph" w:customStyle="1" w:styleId="83">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ascii="Times New Roman" w:hAnsi="Times New Roman" w:eastAsia="宋体" w:cs="Times New Roman"/>
      <w:kern w:val="1"/>
      <w:sz w:val="21"/>
      <w:szCs w:val="20"/>
      <w:lang w:val="en-US" w:eastAsia="ar-SA" w:bidi="ar-SA"/>
    </w:rPr>
  </w:style>
  <w:style w:type="character" w:customStyle="1" w:styleId="84">
    <w:name w:val="Heading 1 Char"/>
    <w:uiPriority w:val="0"/>
    <w:rPr>
      <w:rFonts w:eastAsia="宋体"/>
      <w:b/>
      <w:kern w:val="44"/>
      <w:sz w:val="44"/>
      <w:lang w:val="en-US" w:eastAsia="zh-CN"/>
    </w:rPr>
  </w:style>
  <w:style w:type="character" w:customStyle="1" w:styleId="85">
    <w:name w:val="样式3 Char Char New"/>
    <w:link w:val="86"/>
    <w:qFormat/>
    <w:uiPriority w:val="0"/>
    <w:rPr>
      <w:rFonts w:ascii="EU-F1" w:eastAsia="黑体"/>
    </w:rPr>
  </w:style>
  <w:style w:type="paragraph" w:customStyle="1" w:styleId="86">
    <w:name w:val="样式3 New"/>
    <w:basedOn w:val="87"/>
    <w:link w:val="85"/>
    <w:qFormat/>
    <w:uiPriority w:val="0"/>
    <w:pPr>
      <w:keepNext/>
      <w:keepLines/>
      <w:topLinePunct/>
      <w:spacing w:line="312" w:lineRule="exact"/>
    </w:pPr>
    <w:rPr>
      <w:rFonts w:ascii="EU-F1" w:eastAsia="黑体" w:hAnsiTheme="minorHAnsi" w:cstheme="minorBidi"/>
      <w:szCs w:val="22"/>
    </w:rPr>
  </w:style>
  <w:style w:type="paragraph" w:customStyle="1" w:styleId="87">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0"/>
      <w:lang w:val="en-US" w:eastAsia="zh-CN" w:bidi="ar-SA"/>
    </w:rPr>
  </w:style>
  <w:style w:type="character" w:customStyle="1" w:styleId="88">
    <w:name w:val="默认段落字体1 New"/>
    <w:qFormat/>
    <w:uiPriority w:val="0"/>
  </w:style>
  <w:style w:type="character" w:customStyle="1" w:styleId="89">
    <w:name w:val="批注框文本 字符"/>
    <w:link w:val="30"/>
    <w:uiPriority w:val="0"/>
    <w:rPr>
      <w:sz w:val="18"/>
    </w:rPr>
  </w:style>
  <w:style w:type="character" w:customStyle="1" w:styleId="90">
    <w:name w:val="Char Char8 New"/>
    <w:link w:val="91"/>
    <w:uiPriority w:val="0"/>
    <w:rPr>
      <w:rFonts w:eastAsia="宋体"/>
      <w:b/>
      <w:kern w:val="44"/>
      <w:sz w:val="44"/>
    </w:rPr>
  </w:style>
  <w:style w:type="paragraph" w:customStyle="1" w:styleId="91">
    <w:name w:val="标题 1 New New New New"/>
    <w:basedOn w:val="87"/>
    <w:next w:val="87"/>
    <w:link w:val="90"/>
    <w:uiPriority w:val="0"/>
    <w:pPr>
      <w:keepNext/>
      <w:keepLines/>
      <w:spacing w:before="340" w:after="330" w:line="576" w:lineRule="auto"/>
      <w:outlineLvl w:val="0"/>
    </w:pPr>
    <w:rPr>
      <w:rFonts w:asciiTheme="minorHAnsi" w:hAnsiTheme="minorHAnsi" w:cstheme="minorBidi"/>
      <w:b/>
      <w:kern w:val="44"/>
      <w:sz w:val="44"/>
      <w:szCs w:val="22"/>
    </w:rPr>
  </w:style>
  <w:style w:type="character" w:customStyle="1" w:styleId="92">
    <w:name w:val="font161"/>
    <w:uiPriority w:val="0"/>
    <w:rPr>
      <w:b/>
      <w:sz w:val="32"/>
    </w:rPr>
  </w:style>
  <w:style w:type="character" w:customStyle="1" w:styleId="93">
    <w:name w:val="批注主题 字符"/>
    <w:link w:val="46"/>
    <w:uiPriority w:val="0"/>
    <w:rPr>
      <w:b/>
    </w:rPr>
  </w:style>
  <w:style w:type="character" w:customStyle="1" w:styleId="94">
    <w:name w:val="纯文本 字符"/>
    <w:link w:val="25"/>
    <w:uiPriority w:val="0"/>
    <w:rPr>
      <w:rFonts w:ascii="Courier New" w:hAnsi="Courier New"/>
    </w:rPr>
  </w:style>
  <w:style w:type="character" w:customStyle="1" w:styleId="95">
    <w:name w:val="Char Char2"/>
    <w:uiPriority w:val="0"/>
    <w:rPr>
      <w:rFonts w:eastAsia="宋体"/>
      <w:kern w:val="2"/>
      <w:sz w:val="21"/>
      <w:lang w:val="en-US" w:eastAsia="zh-CN"/>
    </w:rPr>
  </w:style>
  <w:style w:type="character" w:customStyle="1" w:styleId="96">
    <w:name w:val="正文 New New New New New New New New New New New New New New New New New New New New New New New New New New New New New New New New New New New New New New Char Char"/>
    <w:link w:val="97"/>
    <w:qFormat/>
    <w:uiPriority w:val="0"/>
    <w:rPr>
      <w:kern w:val="1"/>
      <w:lang w:eastAsia="ar-SA"/>
    </w:rPr>
  </w:style>
  <w:style w:type="paragraph" w:customStyle="1" w:styleId="97">
    <w:name w:val="正文 New New New New New New New New New New New New New New New New New New New New New New New New New New New New New New New New New New New New New New"/>
    <w:link w:val="96"/>
    <w:qFormat/>
    <w:uiPriority w:val="0"/>
    <w:pPr>
      <w:widowControl w:val="0"/>
      <w:suppressAutoHyphens/>
      <w:jc w:val="both"/>
    </w:pPr>
    <w:rPr>
      <w:rFonts w:asciiTheme="minorHAnsi" w:hAnsiTheme="minorHAnsi" w:eastAsiaTheme="minorEastAsia" w:cstheme="minorBidi"/>
      <w:kern w:val="1"/>
      <w:sz w:val="21"/>
      <w:szCs w:val="22"/>
      <w:lang w:val="en-US" w:eastAsia="ar-SA" w:bidi="ar-SA"/>
    </w:rPr>
  </w:style>
  <w:style w:type="character" w:customStyle="1" w:styleId="98">
    <w:name w:val="纯文本 Char"/>
    <w:link w:val="99"/>
    <w:qFormat/>
    <w:uiPriority w:val="99"/>
    <w:rPr>
      <w:rFonts w:ascii="宋体" w:hAnsi="Courier New"/>
    </w:rPr>
  </w:style>
  <w:style w:type="paragraph" w:customStyle="1" w:styleId="99">
    <w:name w:val="纯文本1"/>
    <w:basedOn w:val="1"/>
    <w:link w:val="98"/>
    <w:uiPriority w:val="0"/>
    <w:rPr>
      <w:rFonts w:ascii="宋体" w:hAnsi="Courier New" w:eastAsiaTheme="minorEastAsia" w:cstheme="minorBidi"/>
      <w:szCs w:val="22"/>
    </w:rPr>
  </w:style>
  <w:style w:type="character" w:customStyle="1" w:styleId="100">
    <w:name w:val="日期 字符"/>
    <w:link w:val="27"/>
    <w:qFormat/>
    <w:uiPriority w:val="0"/>
    <w:rPr>
      <w:sz w:val="24"/>
    </w:rPr>
  </w:style>
  <w:style w:type="character" w:customStyle="1" w:styleId="101">
    <w:name w:val="Char Char7"/>
    <w:uiPriority w:val="0"/>
    <w:rPr>
      <w:rFonts w:ascii="Arial" w:hAnsi="Arial" w:eastAsia="黑体"/>
      <w:b/>
      <w:kern w:val="2"/>
      <w:sz w:val="32"/>
      <w:lang w:val="en-US" w:eastAsia="zh-CN"/>
    </w:rPr>
  </w:style>
  <w:style w:type="character" w:customStyle="1" w:styleId="102">
    <w:name w:val="页脚 字符"/>
    <w:link w:val="31"/>
    <w:uiPriority w:val="0"/>
    <w:rPr>
      <w:sz w:val="18"/>
    </w:rPr>
  </w:style>
  <w:style w:type="character" w:customStyle="1" w:styleId="103">
    <w:name w:val="正文缩进 Char1"/>
    <w:uiPriority w:val="0"/>
    <w:rPr>
      <w:rFonts w:hint="default" w:ascii="Times New Roman" w:eastAsia="宋体"/>
      <w:kern w:val="2"/>
      <w:sz w:val="24"/>
      <w:lang w:val="en-US" w:eastAsia="zh-CN"/>
    </w:rPr>
  </w:style>
  <w:style w:type="character" w:customStyle="1" w:styleId="104">
    <w:name w:val="Char Char4"/>
    <w:uiPriority w:val="0"/>
    <w:rPr>
      <w:rFonts w:hint="eastAsia" w:ascii="Arial" w:hAnsi="Arial" w:eastAsia="宋体"/>
      <w:b/>
      <w:kern w:val="2"/>
      <w:sz w:val="28"/>
      <w:lang w:val="en-US" w:eastAsia="zh-CN"/>
    </w:rPr>
  </w:style>
  <w:style w:type="character" w:customStyle="1" w:styleId="105">
    <w:name w:val="grame"/>
    <w:uiPriority w:val="0"/>
    <w:rPr>
      <w:rFonts w:hint="default" w:ascii="Times New Roman"/>
    </w:rPr>
  </w:style>
  <w:style w:type="character" w:customStyle="1" w:styleId="106">
    <w:name w:val="页眉 字符"/>
    <w:link w:val="32"/>
    <w:uiPriority w:val="0"/>
    <w:rPr>
      <w:sz w:val="18"/>
    </w:rPr>
  </w:style>
  <w:style w:type="character" w:customStyle="1" w:styleId="107">
    <w:name w:val="font11"/>
    <w:qFormat/>
    <w:uiPriority w:val="0"/>
    <w:rPr>
      <w:rFonts w:ascii="Calibri" w:hAnsi="Calibri"/>
      <w:color w:val="FF0000"/>
      <w:sz w:val="18"/>
      <w:u w:val="none"/>
    </w:rPr>
  </w:style>
  <w:style w:type="character" w:customStyle="1" w:styleId="108">
    <w:name w:val="font21"/>
    <w:uiPriority w:val="0"/>
    <w:rPr>
      <w:rFonts w:hint="eastAsia" w:ascii="宋体" w:hAnsi="宋体" w:eastAsia="宋体"/>
      <w:color w:val="FF0000"/>
      <w:sz w:val="18"/>
      <w:u w:val="none"/>
    </w:rPr>
  </w:style>
  <w:style w:type="character" w:customStyle="1" w:styleId="109">
    <w:name w:val="TOC 2 字符"/>
    <w:link w:val="41"/>
    <w:uiPriority w:val="0"/>
    <w:rPr>
      <w:rFonts w:eastAsia="宋体"/>
      <w:sz w:val="24"/>
    </w:rPr>
  </w:style>
  <w:style w:type="character" w:customStyle="1" w:styleId="110">
    <w:name w:val="样式2 Char Char"/>
    <w:link w:val="111"/>
    <w:qFormat/>
    <w:uiPriority w:val="0"/>
    <w:rPr>
      <w:rFonts w:ascii="EU-F1" w:eastAsia="黑体"/>
    </w:rPr>
  </w:style>
  <w:style w:type="paragraph" w:customStyle="1" w:styleId="111">
    <w:name w:val="样式2"/>
    <w:basedOn w:val="4"/>
    <w:link w:val="110"/>
    <w:uiPriority w:val="0"/>
    <w:rPr>
      <w:rFonts w:hint="eastAsia" w:ascii="EU-F1" w:eastAsia="黑体" w:hAnsiTheme="minorHAnsi" w:cstheme="minorBidi"/>
      <w:b w:val="0"/>
      <w:szCs w:val="22"/>
    </w:rPr>
  </w:style>
  <w:style w:type="character" w:customStyle="1" w:styleId="112">
    <w:name w:val="15"/>
    <w:qFormat/>
    <w:uiPriority w:val="0"/>
    <w:rPr>
      <w:rFonts w:hint="eastAsia" w:ascii="EU-F1" w:eastAsia="EU-F1"/>
      <w:sz w:val="21"/>
    </w:rPr>
  </w:style>
  <w:style w:type="character" w:customStyle="1" w:styleId="113">
    <w:name w:val="样式正文1 Char"/>
    <w:link w:val="114"/>
    <w:uiPriority w:val="0"/>
    <w:rPr>
      <w:rFonts w:ascii="宋体" w:hAnsi="宋体"/>
      <w:sz w:val="24"/>
    </w:rPr>
  </w:style>
  <w:style w:type="paragraph" w:customStyle="1" w:styleId="114">
    <w:name w:val="样式正文1"/>
    <w:basedOn w:val="1"/>
    <w:link w:val="113"/>
    <w:uiPriority w:val="0"/>
    <w:pPr>
      <w:adjustRightInd w:val="0"/>
      <w:snapToGrid w:val="0"/>
      <w:spacing w:before="156" w:beforeLines="50" w:line="360" w:lineRule="auto"/>
      <w:ind w:firstLine="480" w:firstLineChars="200"/>
    </w:pPr>
    <w:rPr>
      <w:rFonts w:ascii="宋体" w:hAnsi="宋体" w:eastAsiaTheme="minorEastAsia" w:cstheme="minorBidi"/>
      <w:sz w:val="24"/>
      <w:szCs w:val="22"/>
    </w:rPr>
  </w:style>
  <w:style w:type="character" w:customStyle="1" w:styleId="115">
    <w:name w:val="Char Char Char"/>
    <w:qFormat/>
    <w:uiPriority w:val="0"/>
    <w:rPr>
      <w:rFonts w:eastAsia="宋体"/>
      <w:b/>
      <w:kern w:val="44"/>
      <w:sz w:val="44"/>
      <w:lang w:val="en-US" w:eastAsia="zh-CN"/>
    </w:rPr>
  </w:style>
  <w:style w:type="character" w:customStyle="1" w:styleId="116">
    <w:name w:val="批注引用1"/>
    <w:qFormat/>
    <w:uiPriority w:val="0"/>
    <w:rPr>
      <w:sz w:val="21"/>
    </w:rPr>
  </w:style>
  <w:style w:type="character" w:customStyle="1" w:styleId="117">
    <w:name w:val="访问过的超链接1"/>
    <w:uiPriority w:val="0"/>
    <w:rPr>
      <w:rFonts w:hint="default" w:ascii="Times New Roman"/>
      <w:color w:val="800080"/>
      <w:u w:val="single"/>
    </w:rPr>
  </w:style>
  <w:style w:type="character" w:customStyle="1" w:styleId="118">
    <w:name w:val="Plain Text Char"/>
    <w:qFormat/>
    <w:uiPriority w:val="0"/>
    <w:rPr>
      <w:rFonts w:ascii="Courier New" w:hAnsi="Courier New" w:eastAsia="宋体"/>
      <w:lang w:val="en-US" w:eastAsia="zh-CN"/>
    </w:rPr>
  </w:style>
  <w:style w:type="character" w:customStyle="1" w:styleId="119">
    <w:name w:val="样式3 Char Char"/>
    <w:link w:val="120"/>
    <w:uiPriority w:val="0"/>
    <w:rPr>
      <w:rFonts w:ascii="EU-F1" w:eastAsia="黑体"/>
    </w:rPr>
  </w:style>
  <w:style w:type="paragraph" w:customStyle="1" w:styleId="120">
    <w:name w:val="样式3"/>
    <w:basedOn w:val="4"/>
    <w:link w:val="119"/>
    <w:uiPriority w:val="0"/>
    <w:rPr>
      <w:rFonts w:hint="eastAsia" w:ascii="EU-F1" w:eastAsia="黑体" w:hAnsiTheme="minorHAnsi" w:cstheme="minorBidi"/>
      <w:b w:val="0"/>
      <w:szCs w:val="22"/>
    </w:rPr>
  </w:style>
  <w:style w:type="character" w:customStyle="1" w:styleId="121">
    <w:name w:val="文档结构图 字符"/>
    <w:link w:val="16"/>
    <w:qFormat/>
    <w:uiPriority w:val="0"/>
    <w:rPr>
      <w:shd w:val="clear" w:color="auto" w:fill="000080"/>
    </w:rPr>
  </w:style>
  <w:style w:type="paragraph" w:customStyle="1" w:styleId="122">
    <w:name w:val="页脚 New New New New New New"/>
    <w:basedOn w:val="1"/>
    <w:qFormat/>
    <w:uiPriority w:val="0"/>
    <w:pPr>
      <w:tabs>
        <w:tab w:val="center" w:pos="4153"/>
        <w:tab w:val="right" w:pos="8306"/>
      </w:tabs>
      <w:snapToGrid w:val="0"/>
      <w:jc w:val="left"/>
    </w:pPr>
    <w:rPr>
      <w:rFonts w:hint="eastAsia"/>
      <w:sz w:val="18"/>
    </w:rPr>
  </w:style>
  <w:style w:type="paragraph" w:customStyle="1" w:styleId="123">
    <w:name w:val="正文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124">
    <w:name w:val="font6"/>
    <w:basedOn w:val="1"/>
    <w:qFormat/>
    <w:uiPriority w:val="0"/>
    <w:pPr>
      <w:widowControl/>
      <w:spacing w:before="100" w:beforeAutospacing="1" w:after="100" w:afterAutospacing="1"/>
      <w:jc w:val="left"/>
    </w:pPr>
    <w:rPr>
      <w:rFonts w:hint="eastAsia"/>
      <w:sz w:val="24"/>
    </w:rPr>
  </w:style>
  <w:style w:type="character" w:customStyle="1" w:styleId="125">
    <w:name w:val="标题 字符"/>
    <w:basedOn w:val="51"/>
    <w:link w:val="45"/>
    <w:uiPriority w:val="0"/>
    <w:rPr>
      <w:rFonts w:ascii="Arial" w:hAnsi="Arial" w:eastAsia="楷体" w:cs="Times New Roman"/>
      <w:b/>
      <w:kern w:val="0"/>
      <w:sz w:val="32"/>
      <w:szCs w:val="20"/>
    </w:rPr>
  </w:style>
  <w:style w:type="paragraph" w:customStyle="1" w:styleId="126">
    <w:name w:val="普通(网站) New New New New New"/>
    <w:basedOn w:val="127"/>
    <w:uiPriority w:val="0"/>
    <w:pPr>
      <w:widowControl/>
      <w:spacing w:before="100" w:after="100"/>
      <w:jc w:val="left"/>
    </w:pPr>
    <w:rPr>
      <w:rFonts w:ascii="宋体" w:hAnsi="宋体"/>
      <w:sz w:val="24"/>
    </w:rPr>
  </w:style>
  <w:style w:type="paragraph" w:customStyle="1" w:styleId="127">
    <w:name w:val="正文 New New New New New New New New"/>
    <w:qFormat/>
    <w:uiPriority w:val="0"/>
    <w:pPr>
      <w:widowControl w:val="0"/>
      <w:suppressAutoHyphens/>
      <w:jc w:val="both"/>
    </w:pPr>
    <w:rPr>
      <w:rFonts w:hint="eastAsia" w:ascii="Times New Roman" w:hAnsi="Times New Roman" w:eastAsia="宋体" w:cs="Times New Roman"/>
      <w:kern w:val="1"/>
      <w:sz w:val="21"/>
      <w:szCs w:val="20"/>
      <w:lang w:val="en-US" w:eastAsia="ar-SA" w:bidi="ar-SA"/>
    </w:rPr>
  </w:style>
  <w:style w:type="paragraph" w:customStyle="1" w:styleId="128">
    <w:name w:val="xl43"/>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sz w:val="24"/>
    </w:rPr>
  </w:style>
  <w:style w:type="paragraph" w:customStyle="1" w:styleId="129">
    <w:name w:val="页眉 New New New New New New New New New"/>
    <w:basedOn w:val="1"/>
    <w:qFormat/>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130">
    <w:name w:val="6'"/>
    <w:basedOn w:val="1"/>
    <w:uiPriority w:val="0"/>
    <w:pPr>
      <w:autoSpaceDE w:val="0"/>
      <w:autoSpaceDN w:val="0"/>
      <w:adjustRightInd w:val="0"/>
      <w:snapToGrid w:val="0"/>
      <w:spacing w:line="320" w:lineRule="exact"/>
      <w:jc w:val="center"/>
      <w:textAlignment w:val="baseline"/>
    </w:pPr>
    <w:rPr>
      <w:spacing w:val="20"/>
      <w:kern w:val="28"/>
    </w:rPr>
  </w:style>
  <w:style w:type="paragraph" w:customStyle="1" w:styleId="131">
    <w:name w:val="页眉 New New New New New New New New New New New New New New New New"/>
    <w:basedOn w:val="1"/>
    <w:qFormat/>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132">
    <w:name w:val="页眉 New New New New New New New"/>
    <w:basedOn w:val="1"/>
    <w:qFormat/>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133">
    <w:name w:val="正文 New New New New New New New New New New New New New New New New New New New New New New New New New New New New New New New New New New New New New New New New New New New New New New New New New New New"/>
    <w:uiPriority w:val="0"/>
    <w:pPr>
      <w:widowControl w:val="0"/>
      <w:suppressAutoHyphens/>
      <w:jc w:val="both"/>
    </w:pPr>
    <w:rPr>
      <w:rFonts w:ascii="Times New Roman" w:hAnsi="Times New Roman" w:eastAsia="宋体" w:cs="Times New Roman"/>
      <w:kern w:val="1"/>
      <w:sz w:val="21"/>
      <w:szCs w:val="20"/>
      <w:lang w:val="en-US" w:eastAsia="ar-SA" w:bidi="ar-SA"/>
    </w:rPr>
  </w:style>
  <w:style w:type="paragraph" w:customStyle="1" w:styleId="134">
    <w:name w:val="页眉 New New New New New New New New New New New New New New New New New New"/>
    <w:basedOn w:val="135"/>
    <w:qFormat/>
    <w:uiPriority w:val="0"/>
    <w:pPr>
      <w:pBdr>
        <w:bottom w:val="single" w:color="000000" w:sz="4" w:space="1"/>
      </w:pBdr>
      <w:tabs>
        <w:tab w:val="center" w:pos="4153"/>
        <w:tab w:val="right" w:pos="8306"/>
      </w:tabs>
      <w:snapToGrid w:val="0"/>
      <w:jc w:val="center"/>
    </w:pPr>
    <w:rPr>
      <w:sz w:val="18"/>
    </w:rPr>
  </w:style>
  <w:style w:type="paragraph" w:customStyle="1" w:styleId="135">
    <w:name w:val="正文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136">
    <w:name w:val="页眉 New New New New New New New New New New New New New New New New New New New New New New New New New"/>
    <w:basedOn w:val="1"/>
    <w:uiPriority w:val="0"/>
    <w:pPr>
      <w:pBdr>
        <w:bottom w:val="single" w:color="auto" w:sz="6" w:space="1"/>
      </w:pBdr>
      <w:tabs>
        <w:tab w:val="center" w:pos="4153"/>
        <w:tab w:val="right" w:pos="8306"/>
      </w:tabs>
      <w:snapToGrid w:val="0"/>
      <w:jc w:val="center"/>
    </w:pPr>
    <w:rPr>
      <w:rFonts w:eastAsia="宋体"/>
      <w:sz w:val="18"/>
    </w:rPr>
  </w:style>
  <w:style w:type="paragraph" w:customStyle="1" w:styleId="137">
    <w:name w:val="Char11"/>
    <w:basedOn w:val="1"/>
    <w:qFormat/>
    <w:uiPriority w:val="0"/>
    <w:rPr>
      <w:rFonts w:hint="eastAsia"/>
    </w:rPr>
  </w:style>
  <w:style w:type="paragraph" w:customStyle="1" w:styleId="138">
    <w:name w:val="正文 New New New New New New New New New New New New New New New New New New New New New New New New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139">
    <w:name w:val="页眉 New New New New New New New New New New New New New New New New New New New New New New New New New New New"/>
    <w:basedOn w:val="1"/>
    <w:uiPriority w:val="0"/>
    <w:pPr>
      <w:pBdr>
        <w:bottom w:val="single" w:color="auto" w:sz="6" w:space="1"/>
      </w:pBdr>
      <w:tabs>
        <w:tab w:val="center" w:pos="4153"/>
        <w:tab w:val="right" w:pos="8306"/>
      </w:tabs>
      <w:snapToGrid w:val="0"/>
      <w:jc w:val="center"/>
    </w:pPr>
    <w:rPr>
      <w:rFonts w:eastAsia="宋体"/>
      <w:sz w:val="18"/>
    </w:rPr>
  </w:style>
  <w:style w:type="paragraph" w:customStyle="1" w:styleId="140">
    <w:name w:val="正文 New New New New New New New New New New New New New New New New New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141">
    <w:name w:val="xl46"/>
    <w:basedOn w:val="1"/>
    <w:uiPriority w:val="0"/>
    <w:pPr>
      <w:widowControl/>
      <w:pBdr>
        <w:top w:val="single" w:color="auto" w:sz="4" w:space="0"/>
        <w:left w:val="single" w:color="auto" w:sz="8" w:space="0"/>
      </w:pBdr>
      <w:spacing w:before="100" w:beforeAutospacing="1" w:after="100" w:afterAutospacing="1"/>
      <w:jc w:val="center"/>
      <w:textAlignment w:val="center"/>
    </w:pPr>
    <w:rPr>
      <w:rFonts w:hint="eastAsia" w:ascii="仿宋_GB2312" w:hAnsi="Arial Unicode MS" w:eastAsia="仿宋_GB2312"/>
      <w:sz w:val="24"/>
    </w:rPr>
  </w:style>
  <w:style w:type="paragraph" w:customStyle="1" w:styleId="142">
    <w:name w:val="普通(网站) New New New New New New New New New New New New New New New New New New New New New New New New New New New New New New New New New New"/>
    <w:basedOn w:val="87"/>
    <w:qFormat/>
    <w:uiPriority w:val="0"/>
    <w:pPr>
      <w:widowControl/>
      <w:spacing w:before="100" w:beforeAutospacing="1" w:after="100" w:afterAutospacing="1"/>
      <w:jc w:val="left"/>
    </w:pPr>
    <w:rPr>
      <w:rFonts w:ascii="宋体" w:hAnsi="宋体"/>
      <w:kern w:val="0"/>
      <w:sz w:val="24"/>
    </w:rPr>
  </w:style>
  <w:style w:type="paragraph" w:customStyle="1" w:styleId="14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sz w:val="20"/>
    </w:rPr>
  </w:style>
  <w:style w:type="paragraph" w:customStyle="1" w:styleId="144">
    <w:name w:val="font5"/>
    <w:basedOn w:val="1"/>
    <w:qFormat/>
    <w:uiPriority w:val="0"/>
    <w:pPr>
      <w:widowControl/>
      <w:spacing w:before="100" w:beforeAutospacing="1" w:after="100" w:afterAutospacing="1"/>
      <w:jc w:val="left"/>
    </w:pPr>
    <w:rPr>
      <w:rFonts w:hint="eastAsia" w:ascii="宋体"/>
      <w:sz w:val="24"/>
    </w:rPr>
  </w:style>
  <w:style w:type="paragraph" w:customStyle="1" w:styleId="145">
    <w:name w:val="正文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146">
    <w:name w:val="标题 3 New New"/>
    <w:qFormat/>
    <w:uiPriority w:val="0"/>
    <w:pPr>
      <w:keepNext/>
      <w:keepLines/>
      <w:spacing w:before="260" w:after="260" w:line="413" w:lineRule="auto"/>
      <w:outlineLvl w:val="2"/>
    </w:pPr>
    <w:rPr>
      <w:rFonts w:hint="eastAsia" w:ascii="Times New Roman" w:hAnsi="Times New Roman" w:eastAsia="宋体" w:cs="Times New Roman"/>
      <w:b/>
      <w:kern w:val="2"/>
      <w:sz w:val="32"/>
      <w:szCs w:val="20"/>
      <w:lang w:val="en-US" w:eastAsia="zh-CN" w:bidi="ar-SA"/>
    </w:rPr>
  </w:style>
  <w:style w:type="paragraph" w:customStyle="1" w:styleId="147">
    <w:name w:val="正文 New New New New New New New New New New New New New New New New New New New New New New New New New New New New New New New New New New New"/>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148">
    <w:name w:val="1.1.1.1"/>
    <w:basedOn w:val="1"/>
    <w:uiPriority w:val="0"/>
    <w:pPr>
      <w:tabs>
        <w:tab w:val="left" w:pos="1134"/>
      </w:tabs>
      <w:spacing w:before="60" w:after="60" w:line="360" w:lineRule="atLeast"/>
      <w:ind w:left="1134" w:hanging="1134"/>
      <w:textAlignment w:val="baseline"/>
    </w:pPr>
    <w:rPr>
      <w:rFonts w:hint="eastAsia" w:ascii="Arial" w:hAnsi="Arial"/>
      <w:sz w:val="24"/>
    </w:rPr>
  </w:style>
  <w:style w:type="paragraph" w:customStyle="1" w:styleId="149">
    <w:name w:val="页脚 New New New New New New New New New New New New New New New New"/>
    <w:basedOn w:val="1"/>
    <w:qFormat/>
    <w:uiPriority w:val="0"/>
    <w:pPr>
      <w:tabs>
        <w:tab w:val="center" w:pos="4153"/>
        <w:tab w:val="right" w:pos="8306"/>
      </w:tabs>
      <w:snapToGrid w:val="0"/>
      <w:jc w:val="left"/>
    </w:pPr>
    <w:rPr>
      <w:rFonts w:hint="eastAsia"/>
      <w:sz w:val="18"/>
    </w:rPr>
  </w:style>
  <w:style w:type="paragraph" w:customStyle="1" w:styleId="150">
    <w:name w:val="正文 New New New New New New"/>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151">
    <w:name w:val="标题 1 New New New New New New New"/>
    <w:basedOn w:val="87"/>
    <w:next w:val="87"/>
    <w:qFormat/>
    <w:uiPriority w:val="0"/>
    <w:pPr>
      <w:keepNext/>
      <w:keepLines/>
      <w:adjustRightInd w:val="0"/>
      <w:spacing w:before="340" w:after="330" w:line="578" w:lineRule="atLeast"/>
      <w:jc w:val="left"/>
      <w:textAlignment w:val="baseline"/>
      <w:outlineLvl w:val="0"/>
    </w:pPr>
    <w:rPr>
      <w:b/>
      <w:kern w:val="44"/>
      <w:sz w:val="44"/>
    </w:rPr>
  </w:style>
  <w:style w:type="paragraph" w:customStyle="1" w:styleId="152">
    <w:name w:val="标题 1 New New New"/>
    <w:basedOn w:val="153"/>
    <w:next w:val="153"/>
    <w:qFormat/>
    <w:uiPriority w:val="0"/>
    <w:pPr>
      <w:keepNext/>
      <w:keepLines/>
      <w:adjustRightInd w:val="0"/>
      <w:snapToGrid w:val="0"/>
      <w:ind w:firstLine="200" w:firstLineChars="200"/>
      <w:jc w:val="left"/>
      <w:textAlignment w:val="baseline"/>
      <w:outlineLvl w:val="0"/>
    </w:pPr>
    <w:rPr>
      <w:rFonts w:ascii="方正仿宋_GBK" w:hAnsi="方正仿宋_GBK" w:eastAsia="方正仿宋_GBK"/>
      <w:b/>
      <w:kern w:val="44"/>
      <w:sz w:val="32"/>
    </w:rPr>
  </w:style>
  <w:style w:type="paragraph" w:customStyle="1" w:styleId="153">
    <w:name w:val="正文 New New New New New New New New New New New New New New New New New New New New New New New New New New New New New New New New New New New New New New New New New New New New New New New New New New New New New New"/>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154">
    <w:name w:val="表头"/>
    <w:basedOn w:val="1"/>
    <w:qFormat/>
    <w:uiPriority w:val="0"/>
    <w:pPr>
      <w:spacing w:before="160" w:after="60" w:line="312" w:lineRule="exact"/>
      <w:jc w:val="center"/>
      <w:textAlignment w:val="baseline"/>
    </w:pPr>
    <w:rPr>
      <w:rFonts w:hint="eastAsia" w:ascii="EU-F1" w:eastAsia="黑体"/>
    </w:rPr>
  </w:style>
  <w:style w:type="paragraph" w:customStyle="1" w:styleId="155">
    <w:name w:val="页眉 New New New New New New New New New New New New New"/>
    <w:basedOn w:val="1"/>
    <w:qFormat/>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156">
    <w:name w:val="xl65"/>
    <w:basedOn w:val="1"/>
    <w:uiPriority w:val="0"/>
    <w:pPr>
      <w:widowControl/>
      <w:spacing w:before="100" w:beforeAutospacing="1" w:after="100" w:afterAutospacing="1"/>
      <w:jc w:val="center"/>
    </w:pPr>
    <w:rPr>
      <w:rFonts w:ascii="宋体" w:hAnsi="宋体" w:eastAsia="宋体" w:cs="宋体"/>
      <w:kern w:val="0"/>
      <w:sz w:val="20"/>
    </w:rPr>
  </w:style>
  <w:style w:type="paragraph" w:customStyle="1" w:styleId="157">
    <w:name w:val="页脚 New New New New New New New New New New New New New New New New New New New"/>
    <w:basedOn w:val="158"/>
    <w:qFormat/>
    <w:uiPriority w:val="0"/>
    <w:pPr>
      <w:tabs>
        <w:tab w:val="center" w:pos="4153"/>
        <w:tab w:val="right" w:pos="8306"/>
      </w:tabs>
      <w:snapToGrid w:val="0"/>
      <w:jc w:val="left"/>
    </w:pPr>
    <w:rPr>
      <w:sz w:val="18"/>
    </w:rPr>
  </w:style>
  <w:style w:type="paragraph" w:customStyle="1" w:styleId="158">
    <w:name w:val="正文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159">
    <w:name w:val="xl37"/>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宋体"/>
      <w:sz w:val="24"/>
    </w:rPr>
  </w:style>
  <w:style w:type="paragraph" w:customStyle="1" w:styleId="16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rPr>
  </w:style>
  <w:style w:type="paragraph" w:customStyle="1" w:styleId="161">
    <w:name w:val="正文 New New New New New New New New New New New New New New New New New New New New New New New New New"/>
    <w:uiPriority w:val="0"/>
    <w:pPr>
      <w:widowControl w:val="0"/>
      <w:suppressAutoHyphens/>
      <w:jc w:val="both"/>
    </w:pPr>
    <w:rPr>
      <w:rFonts w:hint="eastAsia" w:ascii="Times New Roman" w:hAnsi="Times New Roman" w:eastAsia="宋体" w:cs="Times New Roman"/>
      <w:kern w:val="1"/>
      <w:sz w:val="21"/>
      <w:szCs w:val="20"/>
      <w:lang w:val="en-US" w:eastAsia="ar-SA" w:bidi="ar-SA"/>
    </w:rPr>
  </w:style>
  <w:style w:type="paragraph" w:customStyle="1" w:styleId="162">
    <w:name w:val="表头 New New"/>
    <w:basedOn w:val="87"/>
    <w:uiPriority w:val="0"/>
    <w:pPr>
      <w:topLinePunct/>
      <w:adjustRightInd w:val="0"/>
      <w:spacing w:before="160" w:after="60" w:line="312" w:lineRule="exact"/>
      <w:jc w:val="center"/>
      <w:textAlignment w:val="baseline"/>
    </w:pPr>
    <w:rPr>
      <w:rFonts w:ascii="EU-F1" w:eastAsia="黑体"/>
      <w:snapToGrid w:val="0"/>
    </w:rPr>
  </w:style>
  <w:style w:type="paragraph" w:customStyle="1" w:styleId="163">
    <w:name w:val="正文 New New New New New"/>
    <w:uiPriority w:val="0"/>
    <w:pPr>
      <w:widowControl w:val="0"/>
      <w:suppressAutoHyphens/>
      <w:jc w:val="both"/>
    </w:pPr>
    <w:rPr>
      <w:rFonts w:hint="eastAsia" w:ascii="Times New Roman" w:hAnsi="Times New Roman" w:eastAsia="宋体" w:cs="Times New Roman"/>
      <w:kern w:val="1"/>
      <w:sz w:val="21"/>
      <w:szCs w:val="20"/>
      <w:lang w:val="en-US" w:eastAsia="ar-SA" w:bidi="ar-SA"/>
    </w:rPr>
  </w:style>
  <w:style w:type="paragraph" w:customStyle="1" w:styleId="164">
    <w:name w:val="正文 New New New New New New New New New New New"/>
    <w:uiPriority w:val="0"/>
    <w:pPr>
      <w:widowControl w:val="0"/>
      <w:suppressAutoHyphens/>
      <w:jc w:val="both"/>
    </w:pPr>
    <w:rPr>
      <w:rFonts w:hint="eastAsia" w:ascii="Times New Roman" w:hAnsi="Times New Roman" w:eastAsia="宋体" w:cs="Times New Roman"/>
      <w:kern w:val="1"/>
      <w:sz w:val="21"/>
      <w:szCs w:val="20"/>
      <w:lang w:val="en-US" w:eastAsia="ar-SA" w:bidi="ar-SA"/>
    </w:rPr>
  </w:style>
  <w:style w:type="paragraph" w:customStyle="1" w:styleId="165">
    <w:name w:val="页脚 New New New New New New New New New New New New New New New New New New New New New New"/>
    <w:basedOn w:val="153"/>
    <w:uiPriority w:val="0"/>
    <w:pPr>
      <w:tabs>
        <w:tab w:val="center" w:pos="4153"/>
        <w:tab w:val="right" w:pos="8306"/>
      </w:tabs>
      <w:snapToGrid w:val="0"/>
      <w:jc w:val="left"/>
    </w:pPr>
    <w:rPr>
      <w:sz w:val="18"/>
    </w:rPr>
  </w:style>
  <w:style w:type="paragraph" w:customStyle="1" w:styleId="166">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167">
    <w:name w:val="D1"/>
    <w:basedOn w:val="2"/>
    <w:uiPriority w:val="0"/>
    <w:pPr>
      <w:keepNext w:val="0"/>
      <w:topLinePunct/>
      <w:spacing w:before="0" w:after="0" w:line="1200" w:lineRule="auto"/>
      <w:jc w:val="center"/>
    </w:pPr>
    <w:rPr>
      <w:rFonts w:hint="eastAsia" w:ascii="方正大标宋_GBK" w:eastAsia="方正大标宋_GBK"/>
      <w:b w:val="0"/>
      <w:color w:val="000000"/>
      <w:kern w:val="21"/>
      <w:sz w:val="36"/>
    </w:rPr>
  </w:style>
  <w:style w:type="paragraph" w:customStyle="1" w:styleId="168">
    <w:name w:val="正文文本 New"/>
    <w:basedOn w:val="169"/>
    <w:uiPriority w:val="0"/>
    <w:pPr>
      <w:spacing w:after="120"/>
    </w:pPr>
  </w:style>
  <w:style w:type="paragraph" w:customStyle="1" w:styleId="169">
    <w:name w:val="正文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170">
    <w:name w:val="页眉 New New New New New New New New New New New New New New"/>
    <w:basedOn w:val="1"/>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171">
    <w:name w:val="正文 New New New New New New New New New New New New New New New New New New New New New New New"/>
    <w:uiPriority w:val="0"/>
    <w:pPr>
      <w:widowControl w:val="0"/>
      <w:suppressAutoHyphens/>
      <w:jc w:val="both"/>
    </w:pPr>
    <w:rPr>
      <w:rFonts w:hint="eastAsia" w:ascii="Times New Roman" w:hAnsi="Times New Roman" w:eastAsia="宋体" w:cs="Times New Roman"/>
      <w:kern w:val="1"/>
      <w:sz w:val="21"/>
      <w:szCs w:val="20"/>
      <w:lang w:val="en-US" w:eastAsia="ar-SA" w:bidi="ar-SA"/>
    </w:rPr>
  </w:style>
  <w:style w:type="paragraph" w:customStyle="1" w:styleId="172">
    <w:name w:val="xl36"/>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sz w:val="24"/>
    </w:rPr>
  </w:style>
  <w:style w:type="paragraph" w:customStyle="1" w:styleId="173">
    <w:name w:val="普通(网站) New New"/>
    <w:basedOn w:val="1"/>
    <w:uiPriority w:val="0"/>
    <w:pPr>
      <w:widowControl/>
      <w:topLinePunct/>
      <w:spacing w:before="100" w:beforeAutospacing="1" w:after="100" w:afterAutospacing="1"/>
      <w:jc w:val="left"/>
    </w:pPr>
    <w:rPr>
      <w:rFonts w:ascii="宋体" w:hAnsi="宋体"/>
      <w:kern w:val="0"/>
      <w:sz w:val="24"/>
    </w:rPr>
  </w:style>
  <w:style w:type="paragraph" w:customStyle="1" w:styleId="174">
    <w:name w:val="页眉 New New New New New New New New New New"/>
    <w:basedOn w:val="1"/>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175">
    <w:name w:val="标题 New"/>
    <w:basedOn w:val="152"/>
    <w:uiPriority w:val="0"/>
    <w:pPr>
      <w:jc w:val="center"/>
    </w:pPr>
  </w:style>
  <w:style w:type="paragraph" w:customStyle="1" w:styleId="176">
    <w:name w:val="纯文本 New New New New New New New New New"/>
    <w:basedOn w:val="177"/>
    <w:uiPriority w:val="0"/>
    <w:rPr>
      <w:rFonts w:ascii="宋体" w:hAnsi="Courier New"/>
      <w:kern w:val="2"/>
      <w:lang w:eastAsia="zh-CN"/>
    </w:rPr>
  </w:style>
  <w:style w:type="paragraph" w:customStyle="1" w:styleId="177">
    <w:name w:val="正文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hint="eastAsia" w:ascii="Times New Roman" w:hAnsi="Times New Roman" w:eastAsia="宋体" w:cs="Times New Roman"/>
      <w:kern w:val="1"/>
      <w:sz w:val="21"/>
      <w:szCs w:val="20"/>
      <w:lang w:val="en-US" w:eastAsia="ar-SA" w:bidi="ar-SA"/>
    </w:rPr>
  </w:style>
  <w:style w:type="paragraph" w:customStyle="1" w:styleId="178">
    <w:name w:val="正文 New New New New New New New New New New New New New New New New"/>
    <w:uiPriority w:val="0"/>
    <w:pPr>
      <w:widowControl w:val="0"/>
      <w:jc w:val="both"/>
    </w:pPr>
    <w:rPr>
      <w:rFonts w:hint="eastAsia" w:ascii="Times New Roman" w:hAnsi="Times New Roman" w:eastAsia="宋体" w:cs="Times New Roman"/>
      <w:kern w:val="2"/>
      <w:sz w:val="21"/>
      <w:szCs w:val="20"/>
      <w:lang w:val="en-US" w:eastAsia="zh-CN" w:bidi="ar-SA"/>
    </w:rPr>
  </w:style>
  <w:style w:type="paragraph" w:styleId="179">
    <w:name w:val="List Paragraph"/>
    <w:basedOn w:val="1"/>
    <w:link w:val="389"/>
    <w:qFormat/>
    <w:uiPriority w:val="34"/>
    <w:pPr>
      <w:ind w:firstLine="420" w:firstLineChars="200"/>
    </w:pPr>
  </w:style>
  <w:style w:type="paragraph" w:customStyle="1" w:styleId="180">
    <w:name w:val="普通(网站) New New New New New New New New New New New New New New New New New New New New New New New"/>
    <w:basedOn w:val="87"/>
    <w:uiPriority w:val="0"/>
    <w:pPr>
      <w:widowControl/>
      <w:topLinePunct/>
      <w:spacing w:before="100" w:beforeAutospacing="1" w:after="100" w:afterAutospacing="1"/>
      <w:jc w:val="left"/>
    </w:pPr>
    <w:rPr>
      <w:rFonts w:ascii="宋体" w:hAnsi="宋体"/>
      <w:kern w:val="0"/>
      <w:sz w:val="24"/>
    </w:rPr>
  </w:style>
  <w:style w:type="paragraph" w:customStyle="1" w:styleId="181">
    <w:name w:val="正文 New New New New New New New New New New New New New New New New New New New"/>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182">
    <w:name w:val="页脚 New New New"/>
    <w:basedOn w:val="1"/>
    <w:uiPriority w:val="0"/>
    <w:pPr>
      <w:tabs>
        <w:tab w:val="center" w:pos="4153"/>
        <w:tab w:val="right" w:pos="8306"/>
      </w:tabs>
      <w:snapToGrid w:val="0"/>
      <w:jc w:val="left"/>
    </w:pPr>
    <w:rPr>
      <w:rFonts w:hint="eastAsia"/>
      <w:sz w:val="18"/>
    </w:rPr>
  </w:style>
  <w:style w:type="paragraph" w:customStyle="1" w:styleId="183">
    <w:name w:val="纯文本 New New New New New New"/>
    <w:basedOn w:val="184"/>
    <w:uiPriority w:val="0"/>
    <w:pPr>
      <w:suppressAutoHyphens w:val="0"/>
    </w:pPr>
    <w:rPr>
      <w:rFonts w:ascii="宋体" w:hAnsi="Courier New"/>
      <w:kern w:val="2"/>
      <w:lang w:eastAsia="zh-CN"/>
    </w:rPr>
  </w:style>
  <w:style w:type="paragraph" w:customStyle="1" w:styleId="184">
    <w:name w:val="正文 New New New New New New New New New New New New New New New New New New New New New New New New New New New New New New New New New New New New New"/>
    <w:qFormat/>
    <w:uiPriority w:val="0"/>
    <w:pPr>
      <w:widowControl w:val="0"/>
      <w:suppressAutoHyphens/>
      <w:jc w:val="both"/>
    </w:pPr>
    <w:rPr>
      <w:rFonts w:ascii="Times New Roman" w:hAnsi="Times New Roman" w:eastAsia="宋体" w:cs="Times New Roman"/>
      <w:kern w:val="1"/>
      <w:sz w:val="21"/>
      <w:szCs w:val="20"/>
      <w:lang w:val="en-US" w:eastAsia="ar-SA" w:bidi="ar-SA"/>
    </w:rPr>
  </w:style>
  <w:style w:type="paragraph" w:customStyle="1" w:styleId="185">
    <w:name w:val="正文 New New New New New New New"/>
    <w:uiPriority w:val="0"/>
    <w:pPr>
      <w:widowControl w:val="0"/>
      <w:suppressAutoHyphens/>
      <w:jc w:val="both"/>
    </w:pPr>
    <w:rPr>
      <w:rFonts w:hint="eastAsia" w:ascii="Times New Roman" w:hAnsi="Times New Roman" w:eastAsia="宋体" w:cs="Times New Roman"/>
      <w:kern w:val="1"/>
      <w:sz w:val="21"/>
      <w:szCs w:val="20"/>
      <w:lang w:val="en-US" w:eastAsia="ar-SA" w:bidi="ar-SA"/>
    </w:rPr>
  </w:style>
  <w:style w:type="paragraph" w:customStyle="1" w:styleId="186">
    <w:name w:val="样式1"/>
    <w:basedOn w:val="4"/>
    <w:qFormat/>
    <w:uiPriority w:val="0"/>
    <w:rPr>
      <w:rFonts w:eastAsia="Arial"/>
    </w:rPr>
  </w:style>
  <w:style w:type="paragraph" w:customStyle="1" w:styleId="187">
    <w:name w:val="标题 3 New New New"/>
    <w:basedOn w:val="1"/>
    <w:next w:val="1"/>
    <w:uiPriority w:val="0"/>
    <w:pPr>
      <w:keepNext/>
      <w:keepLines/>
      <w:spacing w:before="260" w:after="260" w:line="413" w:lineRule="auto"/>
      <w:outlineLvl w:val="2"/>
    </w:pPr>
    <w:rPr>
      <w:rFonts w:hint="eastAsia"/>
      <w:b/>
      <w:sz w:val="32"/>
    </w:rPr>
  </w:style>
  <w:style w:type="character" w:customStyle="1" w:styleId="188">
    <w:name w:val="正文文本缩进 2 字符"/>
    <w:basedOn w:val="51"/>
    <w:link w:val="28"/>
    <w:qFormat/>
    <w:uiPriority w:val="0"/>
    <w:rPr>
      <w:rFonts w:ascii="黑体" w:hAnsi="黑体" w:eastAsia="楷体" w:cs="Times New Roman"/>
      <w:sz w:val="24"/>
      <w:szCs w:val="20"/>
    </w:rPr>
  </w:style>
  <w:style w:type="paragraph" w:customStyle="1" w:styleId="189">
    <w:name w:val="页脚 New"/>
    <w:basedOn w:val="190"/>
    <w:qFormat/>
    <w:uiPriority w:val="0"/>
    <w:pPr>
      <w:tabs>
        <w:tab w:val="center" w:pos="4153"/>
        <w:tab w:val="right" w:pos="8306"/>
      </w:tabs>
      <w:snapToGrid w:val="0"/>
      <w:jc w:val="left"/>
    </w:pPr>
    <w:rPr>
      <w:sz w:val="18"/>
    </w:rPr>
  </w:style>
  <w:style w:type="paragraph" w:customStyle="1" w:styleId="190">
    <w:name w:val="正文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191">
    <w:name w:val="font8"/>
    <w:basedOn w:val="1"/>
    <w:uiPriority w:val="0"/>
    <w:pPr>
      <w:widowControl/>
      <w:spacing w:before="100" w:beforeAutospacing="1" w:after="100" w:afterAutospacing="1"/>
      <w:jc w:val="left"/>
    </w:pPr>
    <w:rPr>
      <w:rFonts w:hint="eastAsia" w:ascii="宋体" w:hAnsi="宋体"/>
      <w:sz w:val="24"/>
    </w:rPr>
  </w:style>
  <w:style w:type="paragraph" w:customStyle="1" w:styleId="192">
    <w:name w:val="xl48"/>
    <w:basedOn w:val="1"/>
    <w:uiPriority w:val="0"/>
    <w:pPr>
      <w:widowControl/>
      <w:pBdr>
        <w:left w:val="single" w:color="auto" w:sz="8" w:space="0"/>
      </w:pBdr>
      <w:spacing w:before="100" w:beforeAutospacing="1" w:after="100" w:afterAutospacing="1"/>
      <w:jc w:val="center"/>
      <w:textAlignment w:val="center"/>
    </w:pPr>
    <w:rPr>
      <w:rFonts w:hint="eastAsia" w:ascii="仿宋_GB2312" w:hAnsi="Arial Unicode MS" w:eastAsia="仿宋_GB2312"/>
      <w:sz w:val="24"/>
    </w:rPr>
  </w:style>
  <w:style w:type="paragraph" w:customStyle="1" w:styleId="193">
    <w:name w:val="页脚 New New New New New New New New"/>
    <w:basedOn w:val="1"/>
    <w:uiPriority w:val="0"/>
    <w:pPr>
      <w:tabs>
        <w:tab w:val="center" w:pos="4153"/>
        <w:tab w:val="right" w:pos="8306"/>
      </w:tabs>
      <w:snapToGrid w:val="0"/>
      <w:jc w:val="left"/>
    </w:pPr>
    <w:rPr>
      <w:rFonts w:hint="eastAsia"/>
      <w:sz w:val="18"/>
    </w:rPr>
  </w:style>
  <w:style w:type="paragraph" w:customStyle="1" w:styleId="19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195">
    <w:name w:val="样式 标题 2 + Times New Roman 四号 非加粗 段前: 5 磅 段后: 0 磅 行距: 固定值 20..."/>
    <w:basedOn w:val="3"/>
    <w:uiPriority w:val="0"/>
    <w:pPr>
      <w:spacing w:before="100" w:after="0" w:line="400" w:lineRule="exact"/>
    </w:pPr>
    <w:rPr>
      <w:rFonts w:ascii="Times New Roman" w:hAnsi="Times New Roman"/>
      <w:b w:val="0"/>
      <w:sz w:val="28"/>
    </w:rPr>
  </w:style>
  <w:style w:type="paragraph" w:customStyle="1" w:styleId="196">
    <w:name w:val="页眉 New New New New New New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rFonts w:eastAsia="宋体"/>
      <w:sz w:val="18"/>
    </w:rPr>
  </w:style>
  <w:style w:type="paragraph" w:customStyle="1" w:styleId="197">
    <w:name w:val="页脚 New New New New New New New New New New New New New New New New New New"/>
    <w:basedOn w:val="135"/>
    <w:uiPriority w:val="0"/>
    <w:pPr>
      <w:tabs>
        <w:tab w:val="center" w:pos="4153"/>
        <w:tab w:val="right" w:pos="8306"/>
      </w:tabs>
      <w:snapToGrid w:val="0"/>
      <w:jc w:val="left"/>
    </w:pPr>
    <w:rPr>
      <w:sz w:val="18"/>
    </w:rPr>
  </w:style>
  <w:style w:type="paragraph" w:customStyle="1" w:styleId="198">
    <w:name w:val="页眉 New New New New New New New New New New New New New New New"/>
    <w:basedOn w:val="1"/>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199">
    <w:name w:val="xl30 New"/>
    <w:basedOn w:val="87"/>
    <w:uiPriority w:val="0"/>
    <w:pPr>
      <w:widowControl/>
      <w:pBdr>
        <w:right w:val="single" w:color="auto" w:sz="4" w:space="0"/>
      </w:pBdr>
      <w:spacing w:before="100" w:after="100"/>
      <w:jc w:val="center"/>
      <w:textAlignment w:val="center"/>
    </w:pPr>
    <w:rPr>
      <w:rFonts w:ascii="宋体" w:hAnsi="宋体"/>
      <w:kern w:val="0"/>
    </w:rPr>
  </w:style>
  <w:style w:type="character" w:customStyle="1" w:styleId="200">
    <w:name w:val="正文文本 3 字符"/>
    <w:basedOn w:val="51"/>
    <w:link w:val="18"/>
    <w:uiPriority w:val="0"/>
    <w:rPr>
      <w:rFonts w:ascii="宋体" w:hAnsi="黑体" w:eastAsia="楷体" w:cs="Times New Roman"/>
      <w:sz w:val="24"/>
      <w:szCs w:val="20"/>
    </w:rPr>
  </w:style>
  <w:style w:type="paragraph" w:customStyle="1" w:styleId="201">
    <w:name w:val="xl44"/>
    <w:basedOn w:val="1"/>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hint="eastAsia" w:ascii="仿宋_GB2312" w:hAnsi="Arial Unicode MS" w:eastAsia="仿宋_GB2312"/>
      <w:sz w:val="24"/>
    </w:rPr>
  </w:style>
  <w:style w:type="paragraph" w:customStyle="1" w:styleId="202">
    <w:name w:val="Char Char1 Char Char Char Char Char Char"/>
    <w:basedOn w:val="1"/>
    <w:uiPriority w:val="0"/>
    <w:pPr>
      <w:widowControl/>
      <w:spacing w:after="160" w:line="240" w:lineRule="exact"/>
      <w:jc w:val="left"/>
    </w:pPr>
    <w:rPr>
      <w:rFonts w:hint="eastAsia" w:ascii="Verdana" w:hAnsi="Verdana" w:eastAsia="仿宋_GB2312"/>
      <w:sz w:val="24"/>
      <w:lang w:eastAsia="en-US"/>
    </w:rPr>
  </w:style>
  <w:style w:type="paragraph" w:customStyle="1" w:styleId="203">
    <w:name w:val="标题 1 New New New New New New"/>
    <w:basedOn w:val="87"/>
    <w:next w:val="87"/>
    <w:uiPriority w:val="0"/>
    <w:pPr>
      <w:keepNext/>
      <w:keepLines/>
      <w:adjustRightInd w:val="0"/>
      <w:spacing w:before="340" w:after="330" w:line="578" w:lineRule="atLeast"/>
      <w:jc w:val="left"/>
      <w:textAlignment w:val="baseline"/>
      <w:outlineLvl w:val="0"/>
    </w:pPr>
    <w:rPr>
      <w:b/>
      <w:kern w:val="44"/>
      <w:sz w:val="44"/>
    </w:rPr>
  </w:style>
  <w:style w:type="paragraph" w:customStyle="1" w:styleId="204">
    <w:name w:val="正文 New New New New New New New New New New"/>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205">
    <w:name w:val="正文 New New New New New New New New New New New New New New New New New New New New New New New New New New New New New"/>
    <w:uiPriority w:val="0"/>
    <w:pPr>
      <w:widowControl w:val="0"/>
      <w:topLinePunct/>
      <w:jc w:val="both"/>
    </w:pPr>
    <w:rPr>
      <w:rFonts w:ascii="Times New Roman" w:hAnsi="Times New Roman" w:eastAsia="宋体" w:cs="Times New Roman"/>
      <w:kern w:val="2"/>
      <w:sz w:val="21"/>
      <w:szCs w:val="20"/>
      <w:lang w:val="en-US" w:eastAsia="zh-CN" w:bidi="ar-SA"/>
    </w:rPr>
  </w:style>
  <w:style w:type="paragraph" w:customStyle="1" w:styleId="206">
    <w:name w:val="xl6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rPr>
  </w:style>
  <w:style w:type="paragraph" w:customStyle="1" w:styleId="207">
    <w:name w:val="正文 New New New New New New New New New New New New New New New New New New New New New New New New New New New New New New New New New New New New New New New"/>
    <w:uiPriority w:val="0"/>
    <w:pPr>
      <w:widowControl w:val="0"/>
      <w:suppressAutoHyphens/>
      <w:jc w:val="both"/>
    </w:pPr>
    <w:rPr>
      <w:rFonts w:hint="eastAsia" w:ascii="Times New Roman" w:hAnsi="Times New Roman" w:eastAsia="宋体" w:cs="Times New Roman"/>
      <w:kern w:val="1"/>
      <w:sz w:val="21"/>
      <w:szCs w:val="20"/>
      <w:lang w:val="en-US" w:eastAsia="ar-SA" w:bidi="ar-SA"/>
    </w:rPr>
  </w:style>
  <w:style w:type="paragraph" w:customStyle="1" w:styleId="208">
    <w:name w:val="正文 New New New New New New New New New New New New New New New New New New New New New New New New New New New New New New New New New New New New New New New New New New New New New New New New"/>
    <w:uiPriority w:val="0"/>
    <w:pPr>
      <w:widowControl w:val="0"/>
      <w:suppressAutoHyphens/>
      <w:jc w:val="both"/>
    </w:pPr>
    <w:rPr>
      <w:rFonts w:ascii="Times New Roman" w:hAnsi="Times New Roman" w:eastAsia="宋体" w:cs="Times New Roman"/>
      <w:kern w:val="1"/>
      <w:sz w:val="21"/>
      <w:szCs w:val="20"/>
      <w:lang w:val="en-US" w:eastAsia="ar-SA" w:bidi="ar-SA"/>
    </w:rPr>
  </w:style>
  <w:style w:type="paragraph" w:customStyle="1" w:styleId="209">
    <w:name w:val="纯文本1 New"/>
    <w:basedOn w:val="210"/>
    <w:uiPriority w:val="0"/>
    <w:pPr>
      <w:suppressAutoHyphens/>
    </w:pPr>
    <w:rPr>
      <w:rFonts w:ascii="宋体" w:hAnsi="宋体"/>
      <w:kern w:val="1"/>
      <w:lang w:eastAsia="ar-SA"/>
    </w:rPr>
  </w:style>
  <w:style w:type="paragraph" w:customStyle="1" w:styleId="210">
    <w:name w:val="正文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11">
    <w:name w:val="xl33"/>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sz w:val="24"/>
    </w:rPr>
  </w:style>
  <w:style w:type="paragraph" w:customStyle="1" w:styleId="212">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sz w:val="24"/>
    </w:rPr>
  </w:style>
  <w:style w:type="paragraph" w:customStyle="1" w:styleId="213">
    <w:name w:val="正文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hint="eastAsia" w:ascii="Times New Roman" w:hAnsi="Times New Roman" w:eastAsia="宋体" w:cs="Times New Roman"/>
      <w:kern w:val="1"/>
      <w:sz w:val="21"/>
      <w:szCs w:val="20"/>
      <w:lang w:val="en-US" w:eastAsia="ar-SA" w:bidi="ar-SA"/>
    </w:rPr>
  </w:style>
  <w:style w:type="paragraph" w:customStyle="1" w:styleId="214">
    <w:name w:val="正文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15">
    <w:name w:val="页眉 New New New"/>
    <w:basedOn w:val="1"/>
    <w:qFormat/>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216">
    <w:name w:val="正文 New New New New New New New New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217">
    <w:name w:val="纯文本1 New New New New New New New New"/>
    <w:basedOn w:val="1"/>
    <w:qFormat/>
    <w:uiPriority w:val="0"/>
    <w:pPr>
      <w:suppressAutoHyphens/>
    </w:pPr>
    <w:rPr>
      <w:rFonts w:ascii="宋体" w:hAnsi="宋体"/>
      <w:kern w:val="1"/>
      <w:lang w:eastAsia="ar-SA"/>
    </w:rPr>
  </w:style>
  <w:style w:type="character" w:customStyle="1" w:styleId="218">
    <w:name w:val="脚注文本 字符1"/>
    <w:basedOn w:val="51"/>
    <w:semiHidden/>
    <w:qFormat/>
    <w:uiPriority w:val="99"/>
    <w:rPr>
      <w:rFonts w:ascii="黑体" w:hAnsi="黑体" w:eastAsia="楷体" w:cs="Times New Roman"/>
      <w:sz w:val="18"/>
      <w:szCs w:val="18"/>
    </w:rPr>
  </w:style>
  <w:style w:type="paragraph" w:customStyle="1" w:styleId="219">
    <w:name w:val="xl71"/>
    <w:basedOn w:val="1"/>
    <w:qFormat/>
    <w:uiPriority w:val="0"/>
    <w:pPr>
      <w:widowControl/>
      <w:spacing w:before="100" w:beforeAutospacing="1" w:after="100" w:afterAutospacing="1"/>
      <w:jc w:val="center"/>
    </w:pPr>
    <w:rPr>
      <w:rFonts w:eastAsia="黑体" w:cs="宋体"/>
      <w:b/>
      <w:bCs/>
      <w:kern w:val="0"/>
      <w:sz w:val="28"/>
      <w:szCs w:val="28"/>
    </w:rPr>
  </w:style>
  <w:style w:type="paragraph" w:customStyle="1" w:styleId="220">
    <w:name w:val="页脚 New New New New New New New New New New New"/>
    <w:basedOn w:val="1"/>
    <w:qFormat/>
    <w:uiPriority w:val="0"/>
    <w:pPr>
      <w:tabs>
        <w:tab w:val="center" w:pos="4153"/>
        <w:tab w:val="right" w:pos="8306"/>
      </w:tabs>
      <w:snapToGrid w:val="0"/>
      <w:jc w:val="left"/>
    </w:pPr>
    <w:rPr>
      <w:rFonts w:hint="eastAsia"/>
      <w:sz w:val="18"/>
    </w:rPr>
  </w:style>
  <w:style w:type="paragraph" w:customStyle="1" w:styleId="22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sz w:val="24"/>
    </w:rPr>
  </w:style>
  <w:style w:type="character" w:customStyle="1" w:styleId="222">
    <w:name w:val="正文文本缩进 字符"/>
    <w:basedOn w:val="51"/>
    <w:link w:val="20"/>
    <w:uiPriority w:val="0"/>
    <w:rPr>
      <w:rFonts w:ascii="黑体" w:hAnsi="黑体" w:eastAsia="楷体" w:cs="Times New Roman"/>
      <w:szCs w:val="20"/>
    </w:rPr>
  </w:style>
  <w:style w:type="character" w:customStyle="1" w:styleId="223">
    <w:name w:val="正文文本首行缩进 2 字符"/>
    <w:basedOn w:val="222"/>
    <w:link w:val="48"/>
    <w:qFormat/>
    <w:uiPriority w:val="0"/>
    <w:rPr>
      <w:rFonts w:ascii="黑体" w:hAnsi="黑体" w:eastAsia="楷体" w:cs="Times New Roman"/>
      <w:szCs w:val="20"/>
    </w:rPr>
  </w:style>
  <w:style w:type="paragraph" w:customStyle="1" w:styleId="224">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sz w:val="24"/>
    </w:rPr>
  </w:style>
  <w:style w:type="paragraph" w:customStyle="1" w:styleId="225">
    <w:name w:val="页眉 New New New New New New New New New New New New New New New New New New New New"/>
    <w:basedOn w:val="226"/>
    <w:qFormat/>
    <w:uiPriority w:val="0"/>
    <w:pPr>
      <w:pBdr>
        <w:bottom w:val="single" w:color="auto" w:sz="6" w:space="1"/>
      </w:pBdr>
      <w:tabs>
        <w:tab w:val="center" w:pos="4153"/>
        <w:tab w:val="right" w:pos="8306"/>
      </w:tabs>
      <w:snapToGrid w:val="0"/>
      <w:jc w:val="center"/>
    </w:pPr>
    <w:rPr>
      <w:sz w:val="18"/>
    </w:rPr>
  </w:style>
  <w:style w:type="paragraph" w:customStyle="1" w:styleId="226">
    <w:name w:val="正文 New New New New New New New New New New New New New"/>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27">
    <w:name w:val="Char"/>
    <w:basedOn w:val="1"/>
    <w:qFormat/>
    <w:uiPriority w:val="0"/>
    <w:pPr>
      <w:tabs>
        <w:tab w:val="left" w:pos="360"/>
      </w:tabs>
    </w:pPr>
    <w:rPr>
      <w:sz w:val="24"/>
    </w:rPr>
  </w:style>
  <w:style w:type="character" w:customStyle="1" w:styleId="228">
    <w:name w:val="日期 字符1"/>
    <w:basedOn w:val="51"/>
    <w:semiHidden/>
    <w:uiPriority w:val="99"/>
    <w:rPr>
      <w:rFonts w:ascii="黑体" w:hAnsi="黑体" w:eastAsia="楷体" w:cs="Times New Roman"/>
      <w:szCs w:val="20"/>
    </w:rPr>
  </w:style>
  <w:style w:type="paragraph" w:customStyle="1" w:styleId="229">
    <w:name w:val="正文 New New New New New New New New New New New New New New New New New New New New New New New New New New New New New New New New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character" w:customStyle="1" w:styleId="230">
    <w:name w:val="页眉 字符1"/>
    <w:basedOn w:val="51"/>
    <w:semiHidden/>
    <w:qFormat/>
    <w:uiPriority w:val="99"/>
    <w:rPr>
      <w:rFonts w:ascii="黑体" w:hAnsi="黑体" w:eastAsia="楷体" w:cs="Times New Roman"/>
      <w:sz w:val="18"/>
      <w:szCs w:val="18"/>
    </w:rPr>
  </w:style>
  <w:style w:type="paragraph" w:customStyle="1" w:styleId="231">
    <w:name w:val="纯文本1 New New New New New New"/>
    <w:basedOn w:val="1"/>
    <w:qFormat/>
    <w:uiPriority w:val="0"/>
    <w:pPr>
      <w:suppressAutoHyphens/>
    </w:pPr>
    <w:rPr>
      <w:rFonts w:ascii="宋体" w:hAnsi="宋体"/>
      <w:kern w:val="1"/>
      <w:lang w:eastAsia="ar-SA"/>
    </w:rPr>
  </w:style>
  <w:style w:type="paragraph" w:customStyle="1" w:styleId="23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233">
    <w:name w:val="普通(网站) New New New New New New New New New New New New New New New New New New New New New New New New New New New New New New New New"/>
    <w:basedOn w:val="87"/>
    <w:qFormat/>
    <w:uiPriority w:val="0"/>
    <w:pPr>
      <w:widowControl/>
      <w:topLinePunct/>
      <w:spacing w:before="100" w:beforeAutospacing="1" w:after="100" w:afterAutospacing="1"/>
      <w:jc w:val="left"/>
    </w:pPr>
    <w:rPr>
      <w:rFonts w:ascii="宋体" w:hAnsi="宋体"/>
      <w:kern w:val="0"/>
      <w:sz w:val="24"/>
    </w:rPr>
  </w:style>
  <w:style w:type="paragraph" w:customStyle="1" w:styleId="234">
    <w:name w:val="页脚 New New New New New New New New New New New New"/>
    <w:basedOn w:val="1"/>
    <w:qFormat/>
    <w:uiPriority w:val="0"/>
    <w:pPr>
      <w:tabs>
        <w:tab w:val="center" w:pos="4153"/>
        <w:tab w:val="right" w:pos="8306"/>
      </w:tabs>
      <w:snapToGrid w:val="0"/>
      <w:jc w:val="left"/>
    </w:pPr>
    <w:rPr>
      <w:rFonts w:hint="eastAsia"/>
      <w:sz w:val="18"/>
    </w:rPr>
  </w:style>
  <w:style w:type="paragraph" w:customStyle="1" w:styleId="235">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36">
    <w:name w:val="列出段落1"/>
    <w:basedOn w:val="1"/>
    <w:qFormat/>
    <w:uiPriority w:val="0"/>
    <w:pPr>
      <w:ind w:left="720"/>
    </w:pPr>
    <w:rPr>
      <w:rFonts w:ascii="Calibri" w:hAnsi="Calibri"/>
    </w:rPr>
  </w:style>
  <w:style w:type="paragraph" w:customStyle="1" w:styleId="237">
    <w:name w:val="正文 New New New New New New New New New New New New New New New New New New New New New New New New New New New New New New New New New New New New New New New New New New New New New New New New New New New New New New New New New New New New New New 46"/>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38">
    <w:name w:val="页脚 New New New New New New New New New New New New New New New New New New New New New"/>
    <w:basedOn w:val="239"/>
    <w:qFormat/>
    <w:uiPriority w:val="0"/>
    <w:pPr>
      <w:tabs>
        <w:tab w:val="center" w:pos="4153"/>
        <w:tab w:val="right" w:pos="8306"/>
      </w:tabs>
      <w:snapToGrid w:val="0"/>
      <w:jc w:val="left"/>
    </w:pPr>
    <w:rPr>
      <w:sz w:val="18"/>
    </w:rPr>
  </w:style>
  <w:style w:type="paragraph" w:customStyle="1" w:styleId="239">
    <w:name w:val="正文 New New New New New New New New New New New New New New New New New New New New New New New New New New New"/>
    <w:qFormat/>
    <w:uiPriority w:val="0"/>
    <w:pPr>
      <w:widowControl w:val="0"/>
      <w:suppressAutoHyphens/>
      <w:jc w:val="both"/>
    </w:pPr>
    <w:rPr>
      <w:rFonts w:ascii="Times New Roman" w:hAnsi="Times New Roman" w:eastAsia="宋体" w:cs="Times New Roman"/>
      <w:kern w:val="1"/>
      <w:sz w:val="21"/>
      <w:szCs w:val="20"/>
      <w:lang w:val="en-US" w:eastAsia="ar-SA" w:bidi="ar-SA"/>
    </w:rPr>
  </w:style>
  <w:style w:type="paragraph" w:customStyle="1" w:styleId="240">
    <w:name w:val="页眉 New New New New New New"/>
    <w:basedOn w:val="1"/>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241">
    <w:name w:val="默认段落字体 Para Char Char Char Char"/>
    <w:basedOn w:val="1"/>
    <w:uiPriority w:val="0"/>
    <w:rPr>
      <w:rFonts w:hint="eastAsia"/>
    </w:rPr>
  </w:style>
  <w:style w:type="paragraph" w:customStyle="1" w:styleId="242">
    <w:name w:val="d2"/>
    <w:basedOn w:val="3"/>
    <w:uiPriority w:val="0"/>
    <w:pPr>
      <w:keepNext w:val="0"/>
      <w:keepLines w:val="0"/>
      <w:tabs>
        <w:tab w:val="left" w:pos="1418"/>
      </w:tabs>
      <w:topLinePunct/>
      <w:spacing w:before="0" w:after="0" w:line="480" w:lineRule="auto"/>
    </w:pPr>
    <w:rPr>
      <w:rFonts w:ascii="黑体" w:hAnsi="Cambria"/>
      <w:snapToGrid w:val="0"/>
      <w:color w:val="000000"/>
      <w:kern w:val="21"/>
      <w:sz w:val="22"/>
    </w:rPr>
  </w:style>
  <w:style w:type="paragraph" w:customStyle="1" w:styleId="243">
    <w:name w:val="纯文本1 New New New New"/>
    <w:basedOn w:val="87"/>
    <w:uiPriority w:val="0"/>
    <w:pPr>
      <w:suppressAutoHyphens/>
      <w:topLinePunct/>
    </w:pPr>
    <w:rPr>
      <w:rFonts w:ascii="宋体" w:hAnsi="宋体"/>
      <w:kern w:val="1"/>
      <w:lang w:eastAsia="ar-SA"/>
    </w:rPr>
  </w:style>
  <w:style w:type="paragraph" w:customStyle="1" w:styleId="244">
    <w:name w:val="页脚 New New New New New New New New New New New New New New New"/>
    <w:basedOn w:val="1"/>
    <w:qFormat/>
    <w:uiPriority w:val="0"/>
    <w:pPr>
      <w:tabs>
        <w:tab w:val="center" w:pos="4153"/>
        <w:tab w:val="right" w:pos="8306"/>
      </w:tabs>
      <w:snapToGrid w:val="0"/>
      <w:jc w:val="left"/>
    </w:pPr>
    <w:rPr>
      <w:rFonts w:hint="eastAsia"/>
      <w:sz w:val="18"/>
    </w:rPr>
  </w:style>
  <w:style w:type="paragraph" w:customStyle="1" w:styleId="245">
    <w:name w:val="正文 New New New New New New New New New New New New New New New New New New New New New New New New New New New New New New New New New New New New New New New New New New New New New New New New New New New New New New New New New New"/>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46">
    <w:name w:val="批注主题1"/>
    <w:basedOn w:val="17"/>
    <w:next w:val="17"/>
    <w:qFormat/>
    <w:uiPriority w:val="0"/>
    <w:rPr>
      <w:rFonts w:hint="eastAsia"/>
      <w:b/>
    </w:rPr>
  </w:style>
  <w:style w:type="paragraph" w:customStyle="1" w:styleId="247">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sz w:val="24"/>
    </w:rPr>
  </w:style>
  <w:style w:type="paragraph" w:customStyle="1" w:styleId="248">
    <w:name w:val="批注框文本1"/>
    <w:basedOn w:val="1"/>
    <w:qFormat/>
    <w:uiPriority w:val="0"/>
    <w:rPr>
      <w:rFonts w:hint="eastAsia"/>
      <w:sz w:val="18"/>
    </w:rPr>
  </w:style>
  <w:style w:type="character" w:customStyle="1" w:styleId="249">
    <w:name w:val="正文文本 字符"/>
    <w:basedOn w:val="51"/>
    <w:link w:val="19"/>
    <w:qFormat/>
    <w:uiPriority w:val="0"/>
    <w:rPr>
      <w:rFonts w:ascii="黑体" w:hAnsi="黑体" w:eastAsia="楷体" w:cs="Times New Roman"/>
      <w:szCs w:val="20"/>
    </w:rPr>
  </w:style>
  <w:style w:type="paragraph" w:customStyle="1" w:styleId="250">
    <w:name w:val="标题 3 New"/>
    <w:basedOn w:val="1"/>
    <w:next w:val="1"/>
    <w:uiPriority w:val="0"/>
    <w:pPr>
      <w:keepNext/>
      <w:keepLines/>
      <w:spacing w:before="260" w:after="260" w:line="413" w:lineRule="auto"/>
      <w:outlineLvl w:val="2"/>
    </w:pPr>
    <w:rPr>
      <w:rFonts w:eastAsia="宋体"/>
      <w:b/>
      <w:sz w:val="32"/>
    </w:rPr>
  </w:style>
  <w:style w:type="paragraph" w:customStyle="1" w:styleId="251">
    <w:name w:val="页眉 New New New New New New New New New New New New New New New New New New New New New New"/>
    <w:basedOn w:val="87"/>
    <w:uiPriority w:val="0"/>
    <w:pPr>
      <w:pBdr>
        <w:bottom w:val="single" w:color="auto" w:sz="6" w:space="1"/>
      </w:pBdr>
      <w:tabs>
        <w:tab w:val="center" w:pos="4153"/>
        <w:tab w:val="right" w:pos="8306"/>
      </w:tabs>
      <w:snapToGrid w:val="0"/>
      <w:jc w:val="center"/>
    </w:pPr>
    <w:rPr>
      <w:sz w:val="18"/>
    </w:rPr>
  </w:style>
  <w:style w:type="paragraph" w:customStyle="1" w:styleId="252">
    <w:name w:val="xl4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eastAsia="Arial Unicode MS"/>
      <w:sz w:val="24"/>
    </w:rPr>
  </w:style>
  <w:style w:type="paragraph" w:customStyle="1" w:styleId="253">
    <w:name w:val="纯文本 New New New New New New New"/>
    <w:uiPriority w:val="0"/>
    <w:rPr>
      <w:rFonts w:ascii="宋体" w:hAnsi="Courier New" w:eastAsia="宋体" w:cs="Times New Roman"/>
      <w:kern w:val="2"/>
      <w:sz w:val="21"/>
      <w:szCs w:val="20"/>
      <w:lang w:val="en-US" w:eastAsia="zh-CN" w:bidi="ar-SA"/>
    </w:rPr>
  </w:style>
  <w:style w:type="paragraph" w:customStyle="1" w:styleId="254">
    <w:name w:val="表头 New New New New New New"/>
    <w:basedOn w:val="87"/>
    <w:uiPriority w:val="0"/>
    <w:pPr>
      <w:topLinePunct/>
      <w:adjustRightInd w:val="0"/>
      <w:spacing w:before="160" w:after="60" w:line="312" w:lineRule="exact"/>
      <w:jc w:val="center"/>
      <w:textAlignment w:val="baseline"/>
    </w:pPr>
    <w:rPr>
      <w:rFonts w:ascii="EU-F1" w:eastAsia="黑体"/>
      <w:snapToGrid w:val="0"/>
    </w:rPr>
  </w:style>
  <w:style w:type="paragraph" w:customStyle="1" w:styleId="255">
    <w:name w:val="纯文本 New New New New"/>
    <w:basedOn w:val="184"/>
    <w:uiPriority w:val="0"/>
    <w:pPr>
      <w:suppressAutoHyphens w:val="0"/>
    </w:pPr>
    <w:rPr>
      <w:rFonts w:ascii="宋体" w:hAnsi="Courier New"/>
      <w:kern w:val="2"/>
      <w:lang w:eastAsia="zh-CN"/>
    </w:rPr>
  </w:style>
  <w:style w:type="paragraph" w:customStyle="1" w:styleId="256">
    <w:name w:val="xl29"/>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top"/>
    </w:pPr>
    <w:rPr>
      <w:rFonts w:hint="eastAsia" w:ascii="宋体"/>
      <w:sz w:val="24"/>
    </w:rPr>
  </w:style>
  <w:style w:type="paragraph" w:customStyle="1" w:styleId="257">
    <w:name w:val="xl73"/>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rPr>
  </w:style>
  <w:style w:type="paragraph" w:customStyle="1" w:styleId="258">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sz w:val="24"/>
    </w:rPr>
  </w:style>
  <w:style w:type="paragraph" w:customStyle="1" w:styleId="259">
    <w:name w:val="正文 New New New New New New New New New New New New New New New New New New New New New New New New New New New New New New New New New New New New New New New New New New New"/>
    <w:uiPriority w:val="0"/>
    <w:pPr>
      <w:widowControl w:val="0"/>
      <w:topLinePunct/>
      <w:jc w:val="both"/>
    </w:pPr>
    <w:rPr>
      <w:rFonts w:ascii="Times New Roman" w:hAnsi="Times New Roman" w:eastAsia="宋体" w:cs="Times New Roman"/>
      <w:kern w:val="2"/>
      <w:sz w:val="21"/>
      <w:szCs w:val="20"/>
      <w:lang w:val="en-US" w:eastAsia="zh-CN" w:bidi="ar-SA"/>
    </w:rPr>
  </w:style>
  <w:style w:type="paragraph" w:customStyle="1" w:styleId="260">
    <w:name w:val="正文 New New New New New New New New New New New New"/>
    <w:qFormat/>
    <w:uiPriority w:val="0"/>
    <w:pPr>
      <w:widowControl w:val="0"/>
      <w:suppressAutoHyphens/>
      <w:jc w:val="both"/>
    </w:pPr>
    <w:rPr>
      <w:rFonts w:hint="eastAsia" w:ascii="Times New Roman" w:hAnsi="Times New Roman" w:eastAsia="宋体" w:cs="Times New Roman"/>
      <w:kern w:val="1"/>
      <w:sz w:val="21"/>
      <w:szCs w:val="20"/>
      <w:lang w:val="en-US" w:eastAsia="ar-SA" w:bidi="ar-SA"/>
    </w:rPr>
  </w:style>
  <w:style w:type="paragraph" w:customStyle="1" w:styleId="261">
    <w:name w:val="页眉 New New New New New New New New New New New"/>
    <w:basedOn w:val="1"/>
    <w:qFormat/>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262">
    <w:name w:val="xl3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int="eastAsia" w:ascii="宋体"/>
      <w:sz w:val="24"/>
    </w:rPr>
  </w:style>
  <w:style w:type="character" w:customStyle="1" w:styleId="263">
    <w:name w:val="正文文本首行缩进 字符"/>
    <w:basedOn w:val="249"/>
    <w:link w:val="47"/>
    <w:qFormat/>
    <w:uiPriority w:val="0"/>
    <w:rPr>
      <w:rFonts w:ascii="黑体" w:hAnsi="黑体" w:eastAsia="楷体" w:cs="Times New Roman"/>
      <w:szCs w:val="20"/>
    </w:rPr>
  </w:style>
  <w:style w:type="paragraph" w:customStyle="1" w:styleId="264">
    <w:name w:val="纯文本 New New New New New"/>
    <w:basedOn w:val="184"/>
    <w:qFormat/>
    <w:uiPriority w:val="0"/>
    <w:pPr>
      <w:suppressAutoHyphens w:val="0"/>
    </w:pPr>
    <w:rPr>
      <w:rFonts w:ascii="宋体" w:hAnsi="Courier New"/>
      <w:kern w:val="2"/>
      <w:lang w:eastAsia="zh-CN"/>
    </w:rPr>
  </w:style>
  <w:style w:type="paragraph" w:customStyle="1" w:styleId="265">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66">
    <w:name w:val="正文 New New New New New New New New New New New New New New New New New New New New New New New New New New New New New New New New New New New New New New New New New New New New New New New New New New New New New New New New New New New New New New N1"/>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67">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68">
    <w:name w:val="纯文本1 New New New"/>
    <w:basedOn w:val="87"/>
    <w:qFormat/>
    <w:uiPriority w:val="0"/>
    <w:pPr>
      <w:suppressAutoHyphens/>
      <w:topLinePunct/>
    </w:pPr>
    <w:rPr>
      <w:rFonts w:ascii="宋体" w:hAnsi="宋体"/>
      <w:kern w:val="1"/>
      <w:lang w:eastAsia="ar-SA"/>
    </w:rPr>
  </w:style>
  <w:style w:type="paragraph" w:customStyle="1" w:styleId="269">
    <w:name w:val="正文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paragraph" w:customStyle="1" w:styleId="270">
    <w:name w:val="正文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71">
    <w:name w:val="表头 New New New New New"/>
    <w:basedOn w:val="87"/>
    <w:qFormat/>
    <w:uiPriority w:val="0"/>
    <w:pPr>
      <w:topLinePunct/>
      <w:adjustRightInd w:val="0"/>
      <w:spacing w:before="160" w:after="60" w:line="312" w:lineRule="exact"/>
      <w:jc w:val="center"/>
      <w:textAlignment w:val="baseline"/>
    </w:pPr>
    <w:rPr>
      <w:rFonts w:ascii="EU-F1" w:eastAsia="黑体"/>
      <w:snapToGrid w:val="0"/>
    </w:rPr>
  </w:style>
  <w:style w:type="character" w:customStyle="1" w:styleId="272">
    <w:name w:val="批注文字 字符1"/>
    <w:basedOn w:val="51"/>
    <w:semiHidden/>
    <w:qFormat/>
    <w:uiPriority w:val="99"/>
    <w:rPr>
      <w:rFonts w:ascii="黑体" w:hAnsi="黑体" w:eastAsia="楷体" w:cs="Times New Roman"/>
      <w:szCs w:val="20"/>
    </w:rPr>
  </w:style>
  <w:style w:type="paragraph" w:customStyle="1" w:styleId="273">
    <w:name w:val="普通(网站) New New New New New New New New New New New New New New New New"/>
    <w:basedOn w:val="87"/>
    <w:qFormat/>
    <w:uiPriority w:val="0"/>
    <w:pPr>
      <w:widowControl/>
      <w:topLinePunct/>
      <w:spacing w:before="100" w:beforeAutospacing="1" w:after="100" w:afterAutospacing="1"/>
      <w:jc w:val="left"/>
    </w:pPr>
    <w:rPr>
      <w:rFonts w:ascii="宋体" w:hAnsi="宋体"/>
      <w:kern w:val="0"/>
      <w:sz w:val="24"/>
    </w:rPr>
  </w:style>
  <w:style w:type="paragraph" w:customStyle="1" w:styleId="274">
    <w:name w:val="4h"/>
    <w:basedOn w:val="1"/>
    <w:qFormat/>
    <w:uiPriority w:val="0"/>
    <w:pPr>
      <w:topLinePunct/>
      <w:adjustRightInd w:val="0"/>
      <w:spacing w:after="156" w:afterLines="50" w:line="720" w:lineRule="auto"/>
      <w:jc w:val="center"/>
    </w:pPr>
    <w:rPr>
      <w:rFonts w:eastAsia="黑体"/>
      <w:kern w:val="21"/>
      <w:sz w:val="28"/>
    </w:rPr>
  </w:style>
  <w:style w:type="paragraph" w:customStyle="1" w:styleId="275">
    <w:name w:val="纯文本 New New"/>
    <w:basedOn w:val="184"/>
    <w:qFormat/>
    <w:uiPriority w:val="0"/>
    <w:pPr>
      <w:suppressAutoHyphens w:val="0"/>
    </w:pPr>
    <w:rPr>
      <w:rFonts w:ascii="宋体" w:hAnsi="Courier New"/>
      <w:kern w:val="2"/>
      <w:lang w:eastAsia="zh-CN"/>
    </w:rPr>
  </w:style>
  <w:style w:type="paragraph" w:customStyle="1" w:styleId="27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sz w:val="24"/>
    </w:rPr>
  </w:style>
  <w:style w:type="paragraph" w:customStyle="1" w:styleId="277">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278">
    <w:name w:val="页脚 New New New New New"/>
    <w:basedOn w:val="1"/>
    <w:qFormat/>
    <w:uiPriority w:val="0"/>
    <w:pPr>
      <w:tabs>
        <w:tab w:val="center" w:pos="4153"/>
        <w:tab w:val="right" w:pos="8306"/>
      </w:tabs>
      <w:snapToGrid w:val="0"/>
      <w:jc w:val="left"/>
    </w:pPr>
    <w:rPr>
      <w:rFonts w:hint="eastAsia"/>
      <w:sz w:val="18"/>
    </w:rPr>
  </w:style>
  <w:style w:type="paragraph" w:customStyle="1" w:styleId="279">
    <w:name w:val="标题 4 New New"/>
    <w:basedOn w:val="87"/>
    <w:next w:val="87"/>
    <w:qFormat/>
    <w:uiPriority w:val="0"/>
    <w:pPr>
      <w:keepNext/>
      <w:keepLines/>
      <w:topLinePunct/>
      <w:spacing w:before="280" w:after="290" w:line="374" w:lineRule="auto"/>
      <w:outlineLvl w:val="3"/>
    </w:pPr>
    <w:rPr>
      <w:rFonts w:ascii="Arial" w:hAnsi="Arial" w:eastAsia="黑体"/>
      <w:b/>
      <w:sz w:val="28"/>
    </w:rPr>
  </w:style>
  <w:style w:type="paragraph" w:customStyle="1" w:styleId="280">
    <w:name w:val="标题 3 New New New New"/>
    <w:basedOn w:val="269"/>
    <w:next w:val="269"/>
    <w:qFormat/>
    <w:uiPriority w:val="0"/>
    <w:pPr>
      <w:keepNext/>
      <w:keepLines/>
      <w:numPr>
        <w:ilvl w:val="2"/>
        <w:numId w:val="2"/>
      </w:numPr>
      <w:adjustRightInd/>
      <w:spacing w:before="260" w:after="260" w:line="415" w:lineRule="auto"/>
      <w:textAlignment w:val="auto"/>
      <w:outlineLvl w:val="2"/>
    </w:pPr>
    <w:rPr>
      <w:b/>
      <w:kern w:val="2"/>
      <w:sz w:val="32"/>
    </w:rPr>
  </w:style>
  <w:style w:type="paragraph" w:customStyle="1" w:styleId="281">
    <w:name w:val="3333"/>
    <w:basedOn w:val="1"/>
    <w:qFormat/>
    <w:uiPriority w:val="0"/>
    <w:pPr>
      <w:widowControl/>
      <w:spacing w:after="160" w:line="240" w:lineRule="exact"/>
      <w:jc w:val="left"/>
    </w:pPr>
    <w:rPr>
      <w:rFonts w:hint="eastAsia"/>
    </w:rPr>
  </w:style>
  <w:style w:type="paragraph" w:customStyle="1" w:styleId="282">
    <w:name w:val="表头 New New New"/>
    <w:basedOn w:val="87"/>
    <w:qFormat/>
    <w:uiPriority w:val="0"/>
    <w:pPr>
      <w:topLinePunct/>
      <w:adjustRightInd w:val="0"/>
      <w:spacing w:before="160" w:after="60" w:line="312" w:lineRule="exact"/>
      <w:jc w:val="center"/>
      <w:textAlignment w:val="baseline"/>
    </w:pPr>
    <w:rPr>
      <w:rFonts w:ascii="EU-F1" w:eastAsia="黑体"/>
      <w:snapToGrid w:val="0"/>
    </w:rPr>
  </w:style>
  <w:style w:type="paragraph" w:customStyle="1" w:styleId="283">
    <w:name w:val="p19"/>
    <w:basedOn w:val="1"/>
    <w:qFormat/>
    <w:uiPriority w:val="0"/>
    <w:pPr>
      <w:widowControl/>
      <w:topLinePunct/>
      <w:snapToGrid w:val="0"/>
      <w:spacing w:before="160" w:after="60" w:line="312" w:lineRule="atLeast"/>
      <w:jc w:val="center"/>
    </w:pPr>
    <w:rPr>
      <w:rFonts w:ascii="EU-F1" w:hAnsi="宋体" w:eastAsia="EU-F1"/>
      <w:kern w:val="0"/>
    </w:rPr>
  </w:style>
  <w:style w:type="paragraph" w:customStyle="1" w:styleId="284">
    <w:name w:val="普通(网站) New New New New"/>
    <w:basedOn w:val="1"/>
    <w:qFormat/>
    <w:uiPriority w:val="0"/>
    <w:pPr>
      <w:widowControl/>
      <w:spacing w:before="100" w:beforeAutospacing="1" w:after="100" w:afterAutospacing="1"/>
      <w:jc w:val="left"/>
    </w:pPr>
    <w:rPr>
      <w:rFonts w:ascii="宋体" w:hAnsi="宋体"/>
      <w:kern w:val="0"/>
      <w:sz w:val="24"/>
    </w:rPr>
  </w:style>
  <w:style w:type="character" w:customStyle="1" w:styleId="285">
    <w:name w:val="页脚 字符1"/>
    <w:basedOn w:val="51"/>
    <w:semiHidden/>
    <w:qFormat/>
    <w:uiPriority w:val="99"/>
    <w:rPr>
      <w:rFonts w:ascii="黑体" w:hAnsi="黑体" w:eastAsia="楷体" w:cs="Times New Roman"/>
      <w:sz w:val="18"/>
      <w:szCs w:val="18"/>
    </w:rPr>
  </w:style>
  <w:style w:type="paragraph" w:customStyle="1" w:styleId="286">
    <w:name w:val="标题 2 New New"/>
    <w:basedOn w:val="153"/>
    <w:next w:val="153"/>
    <w:qFormat/>
    <w:uiPriority w:val="0"/>
    <w:pPr>
      <w:keepNext/>
      <w:keepLines/>
      <w:adjustRightInd w:val="0"/>
      <w:snapToGrid w:val="0"/>
      <w:ind w:firstLine="200" w:firstLineChars="200"/>
      <w:outlineLvl w:val="1"/>
    </w:pPr>
    <w:rPr>
      <w:rFonts w:ascii="方正仿宋_GBK" w:hAnsi="方正仿宋_GBK" w:eastAsia="方正仿宋_GBK"/>
      <w:b/>
      <w:sz w:val="32"/>
    </w:rPr>
  </w:style>
  <w:style w:type="paragraph" w:customStyle="1" w:styleId="287">
    <w:name w:val="正文 New New New New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ascii="Times New Roman" w:hAnsi="Times New Roman" w:eastAsia="宋体" w:cs="Times New Roman"/>
      <w:kern w:val="1"/>
      <w:sz w:val="21"/>
      <w:szCs w:val="20"/>
      <w:lang w:val="en-US" w:eastAsia="ar-SA" w:bidi="ar-SA"/>
    </w:rPr>
  </w:style>
  <w:style w:type="paragraph" w:customStyle="1" w:styleId="288">
    <w:name w:val="页脚 New New New New New New New New New"/>
    <w:basedOn w:val="1"/>
    <w:qFormat/>
    <w:uiPriority w:val="0"/>
    <w:pPr>
      <w:tabs>
        <w:tab w:val="center" w:pos="4153"/>
        <w:tab w:val="right" w:pos="8306"/>
      </w:tabs>
      <w:snapToGrid w:val="0"/>
      <w:jc w:val="left"/>
    </w:pPr>
    <w:rPr>
      <w:rFonts w:hint="eastAsia"/>
      <w:sz w:val="18"/>
    </w:rPr>
  </w:style>
  <w:style w:type="paragraph" w:customStyle="1" w:styleId="289">
    <w:name w:val="正文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90">
    <w:name w:val="正文 New New New New New New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291">
    <w:name w:val="标题 4 New"/>
    <w:basedOn w:val="1"/>
    <w:next w:val="1"/>
    <w:qFormat/>
    <w:uiPriority w:val="0"/>
    <w:pPr>
      <w:keepNext/>
      <w:keepLines/>
      <w:spacing w:line="360" w:lineRule="auto"/>
      <w:outlineLvl w:val="3"/>
    </w:pPr>
    <w:rPr>
      <w:rFonts w:hint="eastAsia" w:ascii="Arial" w:hAnsi="Arial"/>
      <w:b/>
    </w:rPr>
  </w:style>
  <w:style w:type="paragraph" w:customStyle="1" w:styleId="292">
    <w:name w:val="1"/>
    <w:basedOn w:val="1"/>
    <w:next w:val="1"/>
    <w:qFormat/>
    <w:uiPriority w:val="0"/>
  </w:style>
  <w:style w:type="paragraph" w:customStyle="1" w:styleId="293">
    <w:name w:val="xl5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sz w:val="24"/>
    </w:rPr>
  </w:style>
  <w:style w:type="paragraph" w:customStyle="1" w:styleId="294">
    <w:name w:val="页眉 New New New New New New New New New New New New New New New New New New New New New"/>
    <w:basedOn w:val="239"/>
    <w:qFormat/>
    <w:uiPriority w:val="0"/>
    <w:pPr>
      <w:pBdr>
        <w:bottom w:val="single" w:color="000000" w:sz="4" w:space="1"/>
      </w:pBdr>
      <w:tabs>
        <w:tab w:val="center" w:pos="4153"/>
        <w:tab w:val="right" w:pos="8306"/>
      </w:tabs>
      <w:snapToGrid w:val="0"/>
      <w:jc w:val="center"/>
    </w:pPr>
    <w:rPr>
      <w:sz w:val="18"/>
    </w:rPr>
  </w:style>
  <w:style w:type="paragraph" w:customStyle="1" w:styleId="295">
    <w:name w:val="页脚 New New New New New New New New New New New New New New"/>
    <w:basedOn w:val="1"/>
    <w:qFormat/>
    <w:uiPriority w:val="0"/>
    <w:pPr>
      <w:tabs>
        <w:tab w:val="center" w:pos="4153"/>
        <w:tab w:val="right" w:pos="8306"/>
      </w:tabs>
      <w:snapToGrid w:val="0"/>
      <w:jc w:val="left"/>
    </w:pPr>
    <w:rPr>
      <w:rFonts w:hint="eastAsia"/>
      <w:sz w:val="18"/>
    </w:rPr>
  </w:style>
  <w:style w:type="paragraph" w:customStyle="1" w:styleId="296">
    <w:name w:val="页脚 New New"/>
    <w:basedOn w:val="214"/>
    <w:qFormat/>
    <w:uiPriority w:val="0"/>
    <w:pPr>
      <w:tabs>
        <w:tab w:val="center" w:pos="4153"/>
        <w:tab w:val="right" w:pos="8306"/>
      </w:tabs>
      <w:snapToGrid w:val="0"/>
      <w:jc w:val="left"/>
    </w:pPr>
    <w:rPr>
      <w:rFonts w:hint="eastAsia"/>
      <w:sz w:val="18"/>
    </w:rPr>
  </w:style>
  <w:style w:type="character" w:customStyle="1" w:styleId="297">
    <w:name w:val="批注框文本 字符1"/>
    <w:basedOn w:val="51"/>
    <w:semiHidden/>
    <w:qFormat/>
    <w:uiPriority w:val="99"/>
    <w:rPr>
      <w:rFonts w:ascii="黑体" w:hAnsi="黑体" w:eastAsia="楷体" w:cs="Times New Roman"/>
      <w:sz w:val="18"/>
      <w:szCs w:val="18"/>
    </w:rPr>
  </w:style>
  <w:style w:type="paragraph" w:customStyle="1" w:styleId="298">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hint="eastAsia" w:ascii="Arial Unicode MS" w:hAnsi="Arial Unicode MS" w:eastAsia="Arial Unicode MS"/>
      <w:sz w:val="24"/>
    </w:rPr>
  </w:style>
  <w:style w:type="paragraph" w:customStyle="1" w:styleId="299">
    <w:name w:val="Char Char Char Char Char Char"/>
    <w:basedOn w:val="214"/>
    <w:qFormat/>
    <w:uiPriority w:val="0"/>
    <w:pPr>
      <w:topLinePunct/>
    </w:pPr>
  </w:style>
  <w:style w:type="paragraph" w:customStyle="1" w:styleId="300">
    <w:name w:val="表头 New New New New"/>
    <w:basedOn w:val="87"/>
    <w:qFormat/>
    <w:uiPriority w:val="0"/>
    <w:pPr>
      <w:topLinePunct/>
      <w:adjustRightInd w:val="0"/>
      <w:spacing w:before="160" w:after="60" w:line="312" w:lineRule="exact"/>
      <w:jc w:val="center"/>
      <w:textAlignment w:val="baseline"/>
    </w:pPr>
    <w:rPr>
      <w:rFonts w:ascii="EU-F1" w:eastAsia="黑体"/>
      <w:snapToGrid w:val="0"/>
    </w:rPr>
  </w:style>
  <w:style w:type="paragraph" w:customStyle="1" w:styleId="301">
    <w:name w:val="页脚 New New New New New New New New New New"/>
    <w:basedOn w:val="1"/>
    <w:qFormat/>
    <w:uiPriority w:val="0"/>
    <w:pPr>
      <w:tabs>
        <w:tab w:val="center" w:pos="4153"/>
        <w:tab w:val="right" w:pos="8306"/>
      </w:tabs>
      <w:snapToGrid w:val="0"/>
      <w:jc w:val="left"/>
    </w:pPr>
    <w:rPr>
      <w:rFonts w:hint="eastAsia"/>
      <w:sz w:val="18"/>
    </w:rPr>
  </w:style>
  <w:style w:type="character" w:customStyle="1" w:styleId="302">
    <w:name w:val="批注主题 字符1"/>
    <w:basedOn w:val="272"/>
    <w:semiHidden/>
    <w:qFormat/>
    <w:uiPriority w:val="99"/>
    <w:rPr>
      <w:rFonts w:ascii="黑体" w:hAnsi="黑体" w:eastAsia="楷体" w:cs="Times New Roman"/>
      <w:b/>
      <w:bCs/>
      <w:szCs w:val="20"/>
    </w:rPr>
  </w:style>
  <w:style w:type="paragraph" w:customStyle="1" w:styleId="303">
    <w:name w:val="页脚 New New New New New New New New New New New New New New New New New New New New New New New New"/>
    <w:basedOn w:val="87"/>
    <w:qFormat/>
    <w:uiPriority w:val="0"/>
    <w:pPr>
      <w:tabs>
        <w:tab w:val="center" w:pos="4153"/>
        <w:tab w:val="right" w:pos="8306"/>
      </w:tabs>
      <w:adjustRightInd w:val="0"/>
      <w:spacing w:line="240" w:lineRule="atLeast"/>
      <w:jc w:val="left"/>
      <w:textAlignment w:val="baseline"/>
    </w:pPr>
    <w:rPr>
      <w:kern w:val="0"/>
      <w:sz w:val="18"/>
    </w:rPr>
  </w:style>
  <w:style w:type="paragraph" w:customStyle="1" w:styleId="304">
    <w:name w:val="正文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hint="eastAsia" w:ascii="Times New Roman" w:hAnsi="Times New Roman" w:eastAsia="宋体" w:cs="Times New Roman"/>
      <w:kern w:val="1"/>
      <w:sz w:val="21"/>
      <w:szCs w:val="20"/>
      <w:lang w:val="en-US" w:eastAsia="ar-SA" w:bidi="ar-SA"/>
    </w:rPr>
  </w:style>
  <w:style w:type="paragraph" w:customStyle="1" w:styleId="305">
    <w:name w:val="正文 New New New New New New New New New New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ascii="Times New Roman" w:hAnsi="Times New Roman" w:eastAsia="宋体" w:cs="Times New Roman"/>
      <w:kern w:val="1"/>
      <w:sz w:val="21"/>
      <w:szCs w:val="20"/>
      <w:lang w:val="en-US" w:eastAsia="ar-SA" w:bidi="ar-SA"/>
    </w:rPr>
  </w:style>
  <w:style w:type="paragraph" w:customStyle="1" w:styleId="306">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sz w:val="24"/>
    </w:rPr>
  </w:style>
  <w:style w:type="paragraph" w:customStyle="1" w:styleId="307">
    <w:name w:val="页脚 New New New New New New New"/>
    <w:basedOn w:val="1"/>
    <w:qFormat/>
    <w:uiPriority w:val="0"/>
    <w:pPr>
      <w:tabs>
        <w:tab w:val="center" w:pos="4153"/>
        <w:tab w:val="right" w:pos="8306"/>
      </w:tabs>
      <w:snapToGrid w:val="0"/>
      <w:jc w:val="left"/>
    </w:pPr>
    <w:rPr>
      <w:rFonts w:hint="eastAsia"/>
      <w:sz w:val="18"/>
    </w:rPr>
  </w:style>
  <w:style w:type="paragraph" w:customStyle="1" w:styleId="308">
    <w:name w:val="页脚 New New New New New New New New New New New New New"/>
    <w:basedOn w:val="1"/>
    <w:qFormat/>
    <w:uiPriority w:val="0"/>
    <w:pPr>
      <w:tabs>
        <w:tab w:val="center" w:pos="4153"/>
        <w:tab w:val="right" w:pos="8306"/>
      </w:tabs>
      <w:snapToGrid w:val="0"/>
      <w:jc w:val="left"/>
    </w:pPr>
    <w:rPr>
      <w:rFonts w:hint="eastAsia"/>
      <w:sz w:val="18"/>
    </w:rPr>
  </w:style>
  <w:style w:type="paragraph" w:customStyle="1" w:styleId="309">
    <w:name w:val="正文 New New New New New New New New New New New New New New New New New New New New New New New New New New New New New New"/>
    <w:qFormat/>
    <w:uiPriority w:val="0"/>
    <w:pPr>
      <w:widowControl w:val="0"/>
      <w:topLinePunct/>
      <w:jc w:val="both"/>
    </w:pPr>
    <w:rPr>
      <w:rFonts w:ascii="Times New Roman" w:hAnsi="Times New Roman" w:eastAsia="宋体" w:cs="Times New Roman"/>
      <w:kern w:val="2"/>
      <w:sz w:val="21"/>
      <w:szCs w:val="20"/>
      <w:lang w:val="en-US" w:eastAsia="zh-CN" w:bidi="ar-SA"/>
    </w:rPr>
  </w:style>
  <w:style w:type="character" w:customStyle="1" w:styleId="310">
    <w:name w:val="文档结构图 字符1"/>
    <w:basedOn w:val="51"/>
    <w:semiHidden/>
    <w:qFormat/>
    <w:uiPriority w:val="99"/>
    <w:rPr>
      <w:rFonts w:ascii="Microsoft YaHei UI" w:hAnsi="黑体" w:eastAsia="Microsoft YaHei UI" w:cs="Times New Roman"/>
      <w:sz w:val="18"/>
      <w:szCs w:val="18"/>
    </w:rPr>
  </w:style>
  <w:style w:type="paragraph" w:customStyle="1" w:styleId="311">
    <w:name w:val="xl72"/>
    <w:basedOn w:val="1"/>
    <w:qFormat/>
    <w:uiPriority w:val="0"/>
    <w:pPr>
      <w:widowControl/>
      <w:spacing w:before="100" w:beforeAutospacing="1" w:after="100" w:afterAutospacing="1"/>
      <w:jc w:val="center"/>
    </w:pPr>
    <w:rPr>
      <w:rFonts w:eastAsia="黑体" w:cs="宋体"/>
      <w:kern w:val="0"/>
      <w:szCs w:val="21"/>
    </w:rPr>
  </w:style>
  <w:style w:type="paragraph" w:customStyle="1" w:styleId="312">
    <w:name w:val="标题 3 New New New New New"/>
    <w:basedOn w:val="1"/>
    <w:next w:val="1"/>
    <w:qFormat/>
    <w:uiPriority w:val="0"/>
    <w:pPr>
      <w:keepNext/>
      <w:keepLines/>
      <w:spacing w:before="260" w:after="260" w:line="413" w:lineRule="auto"/>
      <w:outlineLvl w:val="2"/>
    </w:pPr>
    <w:rPr>
      <w:b/>
      <w:sz w:val="32"/>
    </w:rPr>
  </w:style>
  <w:style w:type="paragraph" w:customStyle="1" w:styleId="313">
    <w:name w:val="Default"/>
    <w:qFormat/>
    <w:uiPriority w:val="0"/>
    <w:pPr>
      <w:widowControl w:val="0"/>
      <w:autoSpaceDE w:val="0"/>
      <w:autoSpaceDN w:val="0"/>
    </w:pPr>
    <w:rPr>
      <w:rFonts w:hint="eastAsia" w:ascii="..ì." w:hAnsi="Times New Roman" w:eastAsia="..ì." w:cs="Times New Roman"/>
      <w:color w:val="000000"/>
      <w:kern w:val="0"/>
      <w:sz w:val="24"/>
      <w:szCs w:val="20"/>
      <w:lang w:val="en-US" w:eastAsia="zh-CN" w:bidi="ar-SA"/>
    </w:rPr>
  </w:style>
  <w:style w:type="paragraph" w:customStyle="1" w:styleId="314">
    <w:name w:val="Char1"/>
    <w:basedOn w:val="1"/>
    <w:qFormat/>
    <w:uiPriority w:val="0"/>
    <w:rPr>
      <w:rFonts w:hint="eastAsia"/>
    </w:rPr>
  </w:style>
  <w:style w:type="paragraph" w:customStyle="1" w:styleId="315">
    <w:name w:val="表格"/>
    <w:basedOn w:val="1"/>
    <w:qFormat/>
    <w:uiPriority w:val="0"/>
    <w:pPr>
      <w:jc w:val="center"/>
      <w:textAlignment w:val="center"/>
    </w:pPr>
    <w:rPr>
      <w:rFonts w:ascii="华文细黑" w:hAnsi="华文细黑"/>
      <w:kern w:val="0"/>
    </w:rPr>
  </w:style>
  <w:style w:type="paragraph" w:customStyle="1" w:styleId="316">
    <w:name w:val="font9"/>
    <w:basedOn w:val="1"/>
    <w:qFormat/>
    <w:uiPriority w:val="0"/>
    <w:pPr>
      <w:widowControl/>
      <w:spacing w:before="100" w:beforeAutospacing="1" w:after="100" w:afterAutospacing="1"/>
      <w:jc w:val="left"/>
    </w:pPr>
    <w:rPr>
      <w:rFonts w:hint="eastAsia" w:eastAsia="Arial Unicode MS"/>
      <w:b/>
      <w:sz w:val="24"/>
    </w:rPr>
  </w:style>
  <w:style w:type="paragraph" w:customStyle="1" w:styleId="317">
    <w:name w:val="普通(网站) New"/>
    <w:basedOn w:val="153"/>
    <w:qFormat/>
    <w:uiPriority w:val="0"/>
    <w:pPr>
      <w:widowControl/>
      <w:spacing w:before="100" w:beforeAutospacing="1" w:after="100" w:afterAutospacing="1"/>
      <w:jc w:val="left"/>
    </w:pPr>
    <w:rPr>
      <w:rFonts w:ascii="宋体" w:hAnsi="宋体"/>
      <w:kern w:val="0"/>
      <w:sz w:val="24"/>
    </w:rPr>
  </w:style>
  <w:style w:type="paragraph" w:customStyle="1" w:styleId="318">
    <w:name w:val="font0"/>
    <w:basedOn w:val="1"/>
    <w:qFormat/>
    <w:uiPriority w:val="0"/>
    <w:pPr>
      <w:widowControl/>
      <w:spacing w:before="100" w:beforeAutospacing="1" w:after="100" w:afterAutospacing="1"/>
      <w:jc w:val="left"/>
    </w:pPr>
    <w:rPr>
      <w:rFonts w:hint="eastAsia" w:ascii="宋体"/>
      <w:sz w:val="24"/>
    </w:rPr>
  </w:style>
  <w:style w:type="paragraph" w:customStyle="1" w:styleId="319">
    <w:name w:val="页脚 New New New New New New New New New New New New New New New New New New New New New New New New New"/>
    <w:basedOn w:val="1"/>
    <w:qFormat/>
    <w:uiPriority w:val="0"/>
    <w:pPr>
      <w:tabs>
        <w:tab w:val="center" w:pos="4153"/>
        <w:tab w:val="right" w:pos="8306"/>
      </w:tabs>
      <w:snapToGrid w:val="0"/>
      <w:jc w:val="left"/>
    </w:pPr>
    <w:rPr>
      <w:rFonts w:eastAsia="宋体"/>
      <w:sz w:val="18"/>
    </w:rPr>
  </w:style>
  <w:style w:type="paragraph" w:customStyle="1" w:styleId="320">
    <w:name w:val="p15"/>
    <w:basedOn w:val="1"/>
    <w:qFormat/>
    <w:uiPriority w:val="0"/>
    <w:pPr>
      <w:widowControl/>
      <w:topLinePunct/>
      <w:snapToGrid w:val="0"/>
      <w:spacing w:after="156" w:line="720" w:lineRule="auto"/>
      <w:jc w:val="center"/>
    </w:pPr>
    <w:rPr>
      <w:kern w:val="0"/>
      <w:sz w:val="28"/>
    </w:rPr>
  </w:style>
  <w:style w:type="paragraph" w:customStyle="1" w:styleId="32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rPr>
  </w:style>
  <w:style w:type="paragraph" w:customStyle="1" w:styleId="322">
    <w:name w:val="标题 1 New New New New New"/>
    <w:basedOn w:val="1"/>
    <w:next w:val="1"/>
    <w:qFormat/>
    <w:uiPriority w:val="0"/>
    <w:pPr>
      <w:keepNext/>
      <w:keepLines/>
      <w:spacing w:before="340" w:after="330" w:line="576" w:lineRule="auto"/>
      <w:outlineLvl w:val="0"/>
    </w:pPr>
    <w:rPr>
      <w:rFonts w:eastAsia="宋体"/>
      <w:b/>
      <w:kern w:val="44"/>
      <w:sz w:val="44"/>
    </w:rPr>
  </w:style>
  <w:style w:type="paragraph" w:customStyle="1" w:styleId="323">
    <w:name w:val="目录 5 New"/>
    <w:basedOn w:val="169"/>
    <w:next w:val="169"/>
    <w:qFormat/>
    <w:uiPriority w:val="0"/>
    <w:pPr>
      <w:ind w:left="840"/>
      <w:jc w:val="left"/>
    </w:pPr>
    <w:rPr>
      <w:sz w:val="18"/>
    </w:rPr>
  </w:style>
  <w:style w:type="paragraph" w:customStyle="1" w:styleId="324">
    <w:name w:val="样式4"/>
    <w:basedOn w:val="4"/>
    <w:qFormat/>
    <w:uiPriority w:val="0"/>
    <w:rPr>
      <w:rFonts w:eastAsia="Arial"/>
    </w:rPr>
  </w:style>
  <w:style w:type="character" w:customStyle="1" w:styleId="325">
    <w:name w:val="正文文本缩进 3 字符"/>
    <w:basedOn w:val="51"/>
    <w:link w:val="39"/>
    <w:qFormat/>
    <w:uiPriority w:val="0"/>
    <w:rPr>
      <w:rFonts w:ascii="黑体" w:hAnsi="黑体" w:eastAsia="楷体" w:cs="Times New Roman"/>
      <w:sz w:val="16"/>
      <w:szCs w:val="20"/>
    </w:rPr>
  </w:style>
  <w:style w:type="paragraph" w:customStyle="1" w:styleId="326">
    <w:name w:val="正文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327">
    <w:name w:val="表头 New"/>
    <w:basedOn w:val="87"/>
    <w:qFormat/>
    <w:uiPriority w:val="0"/>
    <w:pPr>
      <w:topLinePunct/>
      <w:adjustRightInd w:val="0"/>
      <w:spacing w:before="160" w:after="60" w:line="312" w:lineRule="exact"/>
      <w:jc w:val="center"/>
      <w:textAlignment w:val="baseline"/>
    </w:pPr>
    <w:rPr>
      <w:rFonts w:ascii="EU-F1" w:eastAsia="黑体"/>
      <w:snapToGrid w:val="0"/>
    </w:rPr>
  </w:style>
  <w:style w:type="paragraph" w:customStyle="1" w:styleId="328">
    <w:name w:val="正文 New New New New New New New New New New New New New New New New New New New New New New New New New New New New New New New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329">
    <w:name w:val="bn"/>
    <w:basedOn w:val="1"/>
    <w:qFormat/>
    <w:uiPriority w:val="0"/>
    <w:pPr>
      <w:topLinePunct/>
      <w:snapToGrid w:val="0"/>
      <w:ind w:left="20" w:leftChars="20" w:right="20" w:rightChars="20"/>
      <w:jc w:val="center"/>
    </w:pPr>
    <w:rPr>
      <w:rFonts w:hint="eastAsia"/>
      <w:color w:val="000000"/>
      <w:kern w:val="18"/>
      <w:sz w:val="18"/>
    </w:rPr>
  </w:style>
  <w:style w:type="paragraph" w:customStyle="1" w:styleId="330">
    <w:name w:val="页眉 New New New New New"/>
    <w:basedOn w:val="1"/>
    <w:qFormat/>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331">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332">
    <w:name w:val="页眉 New New New New New New New New New New New New New New New New New New New New New New New New"/>
    <w:basedOn w:val="1"/>
    <w:qFormat/>
    <w:uiPriority w:val="0"/>
    <w:pPr>
      <w:pBdr>
        <w:bottom w:val="single" w:color="auto" w:sz="6" w:space="1"/>
      </w:pBdr>
      <w:tabs>
        <w:tab w:val="center" w:pos="4153"/>
        <w:tab w:val="right" w:pos="8306"/>
      </w:tabs>
      <w:snapToGrid w:val="0"/>
      <w:jc w:val="center"/>
    </w:pPr>
    <w:rPr>
      <w:rFonts w:eastAsia="宋体"/>
      <w:sz w:val="18"/>
    </w:rPr>
  </w:style>
  <w:style w:type="character" w:customStyle="1" w:styleId="333">
    <w:name w:val="纯文本 字符1"/>
    <w:basedOn w:val="51"/>
    <w:semiHidden/>
    <w:qFormat/>
    <w:uiPriority w:val="99"/>
    <w:rPr>
      <w:rFonts w:hAnsi="Courier New" w:cs="Courier New" w:asciiTheme="minorEastAsia"/>
      <w:szCs w:val="20"/>
    </w:rPr>
  </w:style>
  <w:style w:type="paragraph" w:customStyle="1" w:styleId="334">
    <w:name w:val="xl42"/>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hint="eastAsia" w:eastAsia="Arial Unicode MS"/>
      <w:b/>
      <w:sz w:val="24"/>
    </w:rPr>
  </w:style>
  <w:style w:type="paragraph" w:customStyle="1" w:styleId="335">
    <w:name w:val="样式 正文文本缩进特点标题 + 宋体 小四 行距: 1.5 倍行距"/>
    <w:basedOn w:val="20"/>
    <w:qFormat/>
    <w:uiPriority w:val="0"/>
    <w:pPr>
      <w:tabs>
        <w:tab w:val="left" w:pos="1545"/>
        <w:tab w:val="right" w:leader="dot" w:pos="8040"/>
      </w:tabs>
      <w:spacing w:after="0" w:line="360" w:lineRule="auto"/>
      <w:ind w:left="1545" w:leftChars="0" w:hanging="1545"/>
      <w:textAlignment w:val="baseline"/>
    </w:pPr>
    <w:rPr>
      <w:rFonts w:hint="eastAsia" w:ascii="宋体" w:hAnsi="宋体"/>
      <w:spacing w:val="20"/>
      <w:kern w:val="24"/>
      <w:sz w:val="24"/>
    </w:rPr>
  </w:style>
  <w:style w:type="paragraph" w:customStyle="1" w:styleId="336">
    <w:name w:val="普通(网站)2"/>
    <w:basedOn w:val="1"/>
    <w:qFormat/>
    <w:uiPriority w:val="0"/>
    <w:pPr>
      <w:widowControl/>
      <w:spacing w:before="100" w:beforeAutospacing="1" w:after="100" w:afterAutospacing="1"/>
      <w:jc w:val="left"/>
    </w:pPr>
    <w:rPr>
      <w:rFonts w:ascii="宋体" w:hAnsi="宋体"/>
      <w:kern w:val="0"/>
      <w:sz w:val="24"/>
    </w:rPr>
  </w:style>
  <w:style w:type="paragraph" w:customStyle="1" w:styleId="337">
    <w:name w:val="正文 New New New New New New New New New New New New New New New New New New New New New New"/>
    <w:qFormat/>
    <w:uiPriority w:val="0"/>
    <w:pPr>
      <w:widowControl w:val="0"/>
      <w:topLinePunct/>
      <w:jc w:val="both"/>
    </w:pPr>
    <w:rPr>
      <w:rFonts w:ascii="Times New Roman" w:hAnsi="Times New Roman" w:eastAsia="宋体" w:cs="Times New Roman"/>
      <w:kern w:val="2"/>
      <w:sz w:val="21"/>
      <w:szCs w:val="20"/>
      <w:lang w:val="en-US" w:eastAsia="zh-CN" w:bidi="ar-SA"/>
    </w:rPr>
  </w:style>
  <w:style w:type="paragraph" w:customStyle="1" w:styleId="338">
    <w:name w:val="列出段落2"/>
    <w:basedOn w:val="87"/>
    <w:qFormat/>
    <w:uiPriority w:val="0"/>
    <w:pPr>
      <w:ind w:firstLine="420" w:firstLineChars="200"/>
    </w:pPr>
  </w:style>
  <w:style w:type="paragraph" w:customStyle="1" w:styleId="339">
    <w:name w:val="正文 New New New New New New New New New New New New New New New New New New New New New"/>
    <w:qFormat/>
    <w:uiPriority w:val="0"/>
    <w:pPr>
      <w:widowControl w:val="0"/>
      <w:topLinePunct/>
      <w:jc w:val="both"/>
    </w:pPr>
    <w:rPr>
      <w:rFonts w:ascii="Times New Roman" w:hAnsi="Times New Roman" w:eastAsia="宋体" w:cs="Times New Roman"/>
      <w:kern w:val="2"/>
      <w:sz w:val="21"/>
      <w:szCs w:val="20"/>
      <w:lang w:val="en-US" w:eastAsia="zh-CN" w:bidi="ar-SA"/>
    </w:rPr>
  </w:style>
  <w:style w:type="paragraph" w:customStyle="1" w:styleId="340">
    <w:name w:val="页脚 New New New New New New New New New New New New New New New New New New New New"/>
    <w:basedOn w:val="226"/>
    <w:qFormat/>
    <w:uiPriority w:val="0"/>
    <w:pPr>
      <w:tabs>
        <w:tab w:val="center" w:pos="4153"/>
        <w:tab w:val="right" w:pos="8306"/>
      </w:tabs>
      <w:snapToGrid w:val="0"/>
      <w:jc w:val="left"/>
    </w:pPr>
    <w:rPr>
      <w:sz w:val="18"/>
    </w:rPr>
  </w:style>
  <w:style w:type="paragraph" w:customStyle="1" w:styleId="341">
    <w:name w:val="正文 New New New New New New New New New New New New New New New New New New New New New New New New New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342">
    <w:name w:val="页眉 New New New New New New New New New New New New"/>
    <w:basedOn w:val="1"/>
    <w:qFormat/>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343">
    <w:name w:val="页眉 New New New New New New New New"/>
    <w:basedOn w:val="1"/>
    <w:qFormat/>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344">
    <w:name w:val="xl3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宋体"/>
      <w:sz w:val="24"/>
    </w:rPr>
  </w:style>
  <w:style w:type="paragraph" w:customStyle="1" w:styleId="345">
    <w:name w:val="纯文本 New New New"/>
    <w:basedOn w:val="185"/>
    <w:qFormat/>
    <w:uiPriority w:val="0"/>
    <w:rPr>
      <w:rFonts w:ascii="宋体" w:hAnsi="Courier New"/>
      <w:kern w:val="2"/>
      <w:lang w:eastAsia="zh-CN"/>
    </w:rPr>
  </w:style>
  <w:style w:type="paragraph" w:customStyle="1" w:styleId="346">
    <w:name w:val="表格文字"/>
    <w:basedOn w:val="1"/>
    <w:qFormat/>
    <w:uiPriority w:val="0"/>
    <w:pPr>
      <w:adjustRightInd w:val="0"/>
      <w:spacing w:line="420" w:lineRule="atLeast"/>
      <w:jc w:val="left"/>
      <w:textAlignment w:val="baseline"/>
    </w:pPr>
    <w:rPr>
      <w:kern w:val="0"/>
    </w:rPr>
  </w:style>
  <w:style w:type="paragraph" w:customStyle="1" w:styleId="347">
    <w:name w:val="样式 标题 1 + 黑体 三号 非加粗 居中 段前: 6 磅 段后: 6 磅 行距: 固定值 20 磅"/>
    <w:basedOn w:val="2"/>
    <w:qFormat/>
    <w:uiPriority w:val="0"/>
    <w:pPr>
      <w:spacing w:before="120" w:after="120" w:line="400" w:lineRule="exact"/>
      <w:jc w:val="center"/>
    </w:pPr>
    <w:rPr>
      <w:rFonts w:eastAsia="黑体"/>
      <w:b w:val="0"/>
      <w:sz w:val="32"/>
    </w:rPr>
  </w:style>
  <w:style w:type="paragraph" w:customStyle="1" w:styleId="348">
    <w:name w:val="批注文字1"/>
    <w:basedOn w:val="1"/>
    <w:qFormat/>
    <w:uiPriority w:val="0"/>
    <w:pPr>
      <w:jc w:val="left"/>
    </w:pPr>
    <w:rPr>
      <w:rFonts w:ascii="方正仿宋_GBK" w:hAnsi="方正仿宋_GBK"/>
    </w:rPr>
  </w:style>
  <w:style w:type="paragraph" w:customStyle="1" w:styleId="349">
    <w:name w:val="页眉 New New New New"/>
    <w:basedOn w:val="1"/>
    <w:qFormat/>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350">
    <w:name w:val="纯文本1 New New New New New"/>
    <w:basedOn w:val="87"/>
    <w:qFormat/>
    <w:uiPriority w:val="0"/>
    <w:pPr>
      <w:suppressAutoHyphens/>
      <w:topLinePunct/>
    </w:pPr>
    <w:rPr>
      <w:rFonts w:ascii="宋体" w:hAnsi="宋体"/>
      <w:kern w:val="1"/>
      <w:lang w:eastAsia="ar-SA"/>
    </w:rPr>
  </w:style>
  <w:style w:type="paragraph" w:customStyle="1" w:styleId="351">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sz w:val="24"/>
    </w:rPr>
  </w:style>
  <w:style w:type="paragraph" w:customStyle="1" w:styleId="352">
    <w:name w:val="xl47"/>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sz w:val="24"/>
    </w:rPr>
  </w:style>
  <w:style w:type="paragraph" w:customStyle="1" w:styleId="353">
    <w:name w:val="普通(网站)1"/>
    <w:basedOn w:val="1"/>
    <w:qFormat/>
    <w:uiPriority w:val="0"/>
    <w:pPr>
      <w:widowControl/>
      <w:spacing w:before="100" w:beforeAutospacing="1" w:after="100" w:afterAutospacing="1"/>
      <w:jc w:val="left"/>
    </w:pPr>
    <w:rPr>
      <w:rFonts w:hint="eastAsia" w:ascii="宋体" w:hAnsi="宋体"/>
      <w:sz w:val="24"/>
    </w:rPr>
  </w:style>
  <w:style w:type="paragraph" w:customStyle="1" w:styleId="354">
    <w:name w:val="p17"/>
    <w:basedOn w:val="1"/>
    <w:qFormat/>
    <w:uiPriority w:val="0"/>
    <w:pPr>
      <w:widowControl/>
      <w:topLinePunct/>
      <w:spacing w:line="312" w:lineRule="atLeast"/>
    </w:pPr>
    <w:rPr>
      <w:rFonts w:ascii="EU-F1" w:hAnsi="宋体" w:eastAsia="EU-F1"/>
      <w:kern w:val="0"/>
    </w:rPr>
  </w:style>
  <w:style w:type="paragraph" w:customStyle="1" w:styleId="355">
    <w:name w:val="p0 New"/>
    <w:basedOn w:val="267"/>
    <w:qFormat/>
    <w:uiPriority w:val="0"/>
    <w:pPr>
      <w:widowControl/>
    </w:pPr>
    <w:rPr>
      <w:kern w:val="0"/>
    </w:rPr>
  </w:style>
  <w:style w:type="paragraph" w:customStyle="1" w:styleId="356">
    <w:name w:val="汇编正文"/>
    <w:qFormat/>
    <w:uiPriority w:val="0"/>
    <w:pPr>
      <w:spacing w:line="480" w:lineRule="exact"/>
      <w:ind w:firstLine="562" w:firstLineChars="200"/>
    </w:pPr>
    <w:rPr>
      <w:rFonts w:ascii="宋体" w:hAnsi="宋体" w:eastAsia="宋体" w:cs="Times New Roman"/>
      <w:kern w:val="0"/>
      <w:sz w:val="28"/>
      <w:szCs w:val="20"/>
      <w:lang w:val="en-US" w:eastAsia="zh-CN" w:bidi="ar-SA"/>
    </w:rPr>
  </w:style>
  <w:style w:type="paragraph" w:customStyle="1" w:styleId="357">
    <w:name w:val="页眉 New New New New New New New New New New New New New New New New New"/>
    <w:basedOn w:val="1"/>
    <w:qFormat/>
    <w:uiPriority w:val="0"/>
    <w:pPr>
      <w:pBdr>
        <w:bottom w:val="single" w:color="auto" w:sz="6" w:space="1"/>
      </w:pBdr>
      <w:tabs>
        <w:tab w:val="center" w:pos="4153"/>
        <w:tab w:val="right" w:pos="8306"/>
      </w:tabs>
      <w:snapToGrid w:val="0"/>
      <w:spacing w:line="240" w:lineRule="atLeast"/>
      <w:jc w:val="center"/>
      <w:textAlignment w:val="baseline"/>
    </w:pPr>
    <w:rPr>
      <w:rFonts w:hint="eastAsia"/>
      <w:sz w:val="18"/>
    </w:rPr>
  </w:style>
  <w:style w:type="paragraph" w:customStyle="1" w:styleId="358">
    <w:name w:val="正文 New New New New New New New New New New New New New New New New New New New New New New New New"/>
    <w:qFormat/>
    <w:uiPriority w:val="0"/>
    <w:pPr>
      <w:widowControl w:val="0"/>
      <w:jc w:val="both"/>
    </w:pPr>
    <w:rPr>
      <w:rFonts w:hint="eastAsia" w:ascii="Times New Roman" w:hAnsi="Times New Roman" w:eastAsia="宋体" w:cs="Times New Roman"/>
      <w:kern w:val="2"/>
      <w:sz w:val="21"/>
      <w:szCs w:val="20"/>
      <w:lang w:val="en-US" w:eastAsia="zh-CN" w:bidi="ar-SA"/>
    </w:rPr>
  </w:style>
  <w:style w:type="paragraph" w:customStyle="1" w:styleId="359">
    <w:name w:val="纯文本1 New New"/>
    <w:basedOn w:val="1"/>
    <w:qFormat/>
    <w:uiPriority w:val="0"/>
    <w:pPr>
      <w:suppressAutoHyphens/>
    </w:pPr>
    <w:rPr>
      <w:rFonts w:ascii="宋体" w:hAnsi="宋体"/>
      <w:kern w:val="1"/>
      <w:lang w:eastAsia="ar-SA"/>
    </w:rPr>
  </w:style>
  <w:style w:type="paragraph" w:customStyle="1" w:styleId="360">
    <w:name w:val="页脚 New New New New New New New New New New New New New New New New New New New New New New New"/>
    <w:basedOn w:val="269"/>
    <w:qFormat/>
    <w:uiPriority w:val="0"/>
    <w:pPr>
      <w:tabs>
        <w:tab w:val="center" w:pos="4153"/>
        <w:tab w:val="right" w:pos="8306"/>
      </w:tabs>
      <w:spacing w:line="240" w:lineRule="atLeast"/>
      <w:jc w:val="left"/>
    </w:pPr>
    <w:rPr>
      <w:sz w:val="18"/>
    </w:rPr>
  </w:style>
  <w:style w:type="paragraph" w:customStyle="1" w:styleId="361">
    <w:name w:val="正文 New New New New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362">
    <w:name w:val="页脚 New New New New"/>
    <w:basedOn w:val="1"/>
    <w:qFormat/>
    <w:uiPriority w:val="0"/>
    <w:pPr>
      <w:tabs>
        <w:tab w:val="center" w:pos="4153"/>
        <w:tab w:val="right" w:pos="8306"/>
      </w:tabs>
      <w:snapToGrid w:val="0"/>
      <w:jc w:val="left"/>
    </w:pPr>
    <w:rPr>
      <w:rFonts w:hint="eastAsia"/>
      <w:sz w:val="18"/>
    </w:rPr>
  </w:style>
  <w:style w:type="paragraph" w:customStyle="1" w:styleId="363">
    <w:name w:val="Plain Text1"/>
    <w:basedOn w:val="1"/>
    <w:qFormat/>
    <w:uiPriority w:val="0"/>
    <w:rPr>
      <w:rFonts w:ascii="宋体" w:hAnsi="Courier New"/>
      <w:kern w:val="0"/>
    </w:rPr>
  </w:style>
  <w:style w:type="paragraph" w:customStyle="1" w:styleId="364">
    <w:name w:val="页眉 New New New New New New New New New New New New New New New New New New New New New New New"/>
    <w:basedOn w:val="87"/>
    <w:qFormat/>
    <w:uiPriority w:val="0"/>
    <w:pPr>
      <w:pBdr>
        <w:bottom w:val="single" w:color="auto" w:sz="6" w:space="1"/>
      </w:pBdr>
      <w:tabs>
        <w:tab w:val="center" w:pos="4153"/>
        <w:tab w:val="right" w:pos="8306"/>
      </w:tabs>
      <w:snapToGrid w:val="0"/>
      <w:jc w:val="center"/>
    </w:pPr>
    <w:rPr>
      <w:sz w:val="18"/>
    </w:rPr>
  </w:style>
  <w:style w:type="paragraph" w:customStyle="1" w:styleId="365">
    <w:name w:val="正文 New New New New New New New New New New New New New New New New New New New New New New New New New New New New"/>
    <w:qFormat/>
    <w:uiPriority w:val="0"/>
    <w:pPr>
      <w:widowControl w:val="0"/>
      <w:topLinePunct/>
      <w:jc w:val="both"/>
    </w:pPr>
    <w:rPr>
      <w:rFonts w:ascii="Times New Roman" w:hAnsi="Times New Roman" w:eastAsia="宋体" w:cs="Times New Roman"/>
      <w:kern w:val="2"/>
      <w:sz w:val="21"/>
      <w:szCs w:val="20"/>
      <w:lang w:val="en-US" w:eastAsia="zh-CN" w:bidi="ar-SA"/>
    </w:rPr>
  </w:style>
  <w:style w:type="paragraph" w:customStyle="1" w:styleId="366">
    <w:name w:val="样式标题"/>
    <w:basedOn w:val="1"/>
    <w:qFormat/>
    <w:uiPriority w:val="0"/>
    <w:pPr>
      <w:topLinePunct/>
      <w:spacing w:line="1200" w:lineRule="auto"/>
      <w:jc w:val="center"/>
    </w:pPr>
    <w:rPr>
      <w:rFonts w:eastAsia="黑体"/>
      <w:kern w:val="21"/>
      <w:sz w:val="32"/>
    </w:rPr>
  </w:style>
  <w:style w:type="paragraph" w:customStyle="1" w:styleId="367">
    <w:name w:val="纯文本 New"/>
    <w:basedOn w:val="135"/>
    <w:qFormat/>
    <w:uiPriority w:val="0"/>
    <w:rPr>
      <w:rFonts w:ascii="宋体" w:hAnsi="Courier New"/>
    </w:rPr>
  </w:style>
  <w:style w:type="paragraph" w:customStyle="1" w:styleId="368">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sz w:val="24"/>
    </w:rPr>
  </w:style>
  <w:style w:type="paragraph" w:customStyle="1" w:styleId="369">
    <w:name w:val="页眉 New New New New New New New New New New New New New New New New New New New"/>
    <w:basedOn w:val="158"/>
    <w:qFormat/>
    <w:uiPriority w:val="0"/>
    <w:pPr>
      <w:pBdr>
        <w:bottom w:val="single" w:color="000000" w:sz="4" w:space="1"/>
      </w:pBdr>
      <w:tabs>
        <w:tab w:val="center" w:pos="4153"/>
        <w:tab w:val="right" w:pos="8306"/>
      </w:tabs>
      <w:snapToGrid w:val="0"/>
      <w:jc w:val="center"/>
    </w:pPr>
    <w:rPr>
      <w:sz w:val="18"/>
    </w:rPr>
  </w:style>
  <w:style w:type="paragraph" w:customStyle="1" w:styleId="370">
    <w:name w:val="xl49"/>
    <w:basedOn w:val="1"/>
    <w:qFormat/>
    <w:uiPriority w:val="0"/>
    <w:pPr>
      <w:widowControl/>
      <w:pBdr>
        <w:right w:val="single" w:color="auto" w:sz="4" w:space="0"/>
      </w:pBdr>
      <w:spacing w:before="100" w:beforeAutospacing="1" w:after="100" w:afterAutospacing="1"/>
      <w:jc w:val="center"/>
      <w:textAlignment w:val="center"/>
    </w:pPr>
    <w:rPr>
      <w:rFonts w:hint="eastAsia" w:ascii="仿宋_GB2312" w:hAnsi="Arial Unicode MS" w:eastAsia="仿宋_GB2312"/>
      <w:sz w:val="24"/>
    </w:rPr>
  </w:style>
  <w:style w:type="paragraph" w:customStyle="1" w:styleId="371">
    <w:name w:val="页眉 New New"/>
    <w:basedOn w:val="214"/>
    <w:qFormat/>
    <w:uiPriority w:val="0"/>
    <w:pPr>
      <w:pBdr>
        <w:bottom w:val="single" w:color="000000" w:sz="4" w:space="1"/>
      </w:pBdr>
      <w:tabs>
        <w:tab w:val="center" w:pos="4153"/>
        <w:tab w:val="right" w:pos="8306"/>
      </w:tabs>
      <w:snapToGrid w:val="0"/>
      <w:jc w:val="center"/>
    </w:pPr>
    <w:rPr>
      <w:rFonts w:hint="eastAsia"/>
      <w:sz w:val="18"/>
    </w:rPr>
  </w:style>
  <w:style w:type="paragraph" w:customStyle="1" w:styleId="372">
    <w:name w:val="正文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373">
    <w:name w:val="正文 New New New New"/>
    <w:qFormat/>
    <w:uiPriority w:val="0"/>
    <w:pPr>
      <w:widowControl w:val="0"/>
      <w:suppressAutoHyphens/>
      <w:jc w:val="both"/>
    </w:pPr>
    <w:rPr>
      <w:rFonts w:hint="eastAsia" w:ascii="Times New Roman" w:hAnsi="Times New Roman" w:eastAsia="宋体" w:cs="Times New Roman"/>
      <w:kern w:val="1"/>
      <w:sz w:val="21"/>
      <w:szCs w:val="20"/>
      <w:lang w:val="en-US" w:eastAsia="ar-SA" w:bidi="ar-SA"/>
    </w:rPr>
  </w:style>
  <w:style w:type="paragraph" w:customStyle="1" w:styleId="374">
    <w:name w:val="标题 1 New New"/>
    <w:basedOn w:val="304"/>
    <w:next w:val="304"/>
    <w:qFormat/>
    <w:uiPriority w:val="0"/>
    <w:pPr>
      <w:keepNext/>
      <w:tabs>
        <w:tab w:val="left" w:pos="0"/>
      </w:tabs>
      <w:spacing w:line="312" w:lineRule="atLeast"/>
      <w:textAlignment w:val="baseline"/>
      <w:outlineLvl w:val="0"/>
    </w:pPr>
    <w:rPr>
      <w:rFonts w:eastAsia="楷体"/>
      <w:b/>
      <w:sz w:val="32"/>
    </w:rPr>
  </w:style>
  <w:style w:type="paragraph" w:customStyle="1" w:styleId="375">
    <w:name w:val="普通(网站) New New New New New New New New New New New New New New New New New New New New New New"/>
    <w:qFormat/>
    <w:uiPriority w:val="0"/>
    <w:pPr>
      <w:topLinePunct/>
      <w:spacing w:before="100" w:beforeAutospacing="1" w:after="100" w:afterAutospacing="1"/>
    </w:pPr>
    <w:rPr>
      <w:rFonts w:ascii="宋体" w:hAnsi="宋体" w:eastAsia="宋体" w:cs="Times New Roman"/>
      <w:kern w:val="0"/>
      <w:sz w:val="24"/>
      <w:szCs w:val="20"/>
      <w:lang w:val="en-US" w:eastAsia="zh-CN" w:bidi="ar-SA"/>
    </w:rPr>
  </w:style>
  <w:style w:type="paragraph" w:customStyle="1" w:styleId="376">
    <w:name w:val="Char Char Char Char"/>
    <w:basedOn w:val="1"/>
    <w:qFormat/>
    <w:uiPriority w:val="0"/>
    <w:rPr>
      <w:rFonts w:hint="eastAsia" w:ascii="宋体" w:hAnsi="宋体"/>
      <w:b/>
      <w:color w:val="000000"/>
      <w:sz w:val="24"/>
    </w:rPr>
  </w:style>
  <w:style w:type="paragraph" w:customStyle="1" w:styleId="377">
    <w:name w:val="font7"/>
    <w:basedOn w:val="1"/>
    <w:qFormat/>
    <w:uiPriority w:val="0"/>
    <w:pPr>
      <w:widowControl/>
      <w:spacing w:before="100" w:beforeAutospacing="1" w:after="100" w:afterAutospacing="1"/>
      <w:jc w:val="left"/>
    </w:pPr>
    <w:rPr>
      <w:rFonts w:hint="eastAsia"/>
      <w:sz w:val="24"/>
    </w:rPr>
  </w:style>
  <w:style w:type="paragraph" w:customStyle="1" w:styleId="378">
    <w:name w:val="普通(网站) New New New New New New New New New New New New New New New New New New New New New New New New New New New New New New New"/>
    <w:basedOn w:val="87"/>
    <w:qFormat/>
    <w:uiPriority w:val="0"/>
    <w:pPr>
      <w:widowControl/>
      <w:topLinePunct/>
      <w:spacing w:before="100" w:beforeAutospacing="1" w:after="100" w:afterAutospacing="1"/>
      <w:jc w:val="left"/>
    </w:pPr>
    <w:rPr>
      <w:rFonts w:ascii="宋体" w:hAnsi="宋体"/>
      <w:kern w:val="0"/>
      <w:sz w:val="24"/>
    </w:rPr>
  </w:style>
  <w:style w:type="paragraph" w:customStyle="1" w:styleId="379">
    <w:name w:val="xl50"/>
    <w:basedOn w:val="1"/>
    <w:qFormat/>
    <w:uiPriority w:val="0"/>
    <w:pPr>
      <w:widowControl/>
      <w:pBdr>
        <w:left w:val="single" w:color="auto" w:sz="8" w:space="0"/>
        <w:bottom w:val="single" w:color="auto" w:sz="4" w:space="0"/>
      </w:pBdr>
      <w:spacing w:before="100" w:beforeAutospacing="1" w:after="100" w:afterAutospacing="1"/>
      <w:jc w:val="center"/>
      <w:textAlignment w:val="center"/>
    </w:pPr>
    <w:rPr>
      <w:rFonts w:hint="eastAsia" w:ascii="仿宋_GB2312" w:hAnsi="Arial Unicode MS" w:eastAsia="仿宋_GB2312"/>
      <w:sz w:val="24"/>
    </w:rPr>
  </w:style>
  <w:style w:type="paragraph" w:customStyle="1" w:styleId="380">
    <w:name w:val="页眉 New"/>
    <w:basedOn w:val="190"/>
    <w:qFormat/>
    <w:uiPriority w:val="0"/>
    <w:pPr>
      <w:pBdr>
        <w:bottom w:val="single" w:color="000000" w:sz="4" w:space="1"/>
      </w:pBdr>
      <w:tabs>
        <w:tab w:val="center" w:pos="4153"/>
        <w:tab w:val="right" w:pos="8306"/>
      </w:tabs>
      <w:snapToGrid w:val="0"/>
      <w:jc w:val="center"/>
    </w:pPr>
    <w:rPr>
      <w:sz w:val="18"/>
    </w:rPr>
  </w:style>
  <w:style w:type="paragraph" w:customStyle="1" w:styleId="381">
    <w:name w:val="页脚 New New New New New New New New New New New New New New New New New"/>
    <w:basedOn w:val="1"/>
    <w:qFormat/>
    <w:uiPriority w:val="0"/>
    <w:pPr>
      <w:tabs>
        <w:tab w:val="center" w:pos="4153"/>
        <w:tab w:val="right" w:pos="8306"/>
      </w:tabs>
      <w:snapToGrid w:val="0"/>
      <w:jc w:val="left"/>
    </w:pPr>
    <w:rPr>
      <w:rFonts w:hint="eastAsia"/>
      <w:sz w:val="18"/>
    </w:rPr>
  </w:style>
  <w:style w:type="paragraph" w:customStyle="1" w:styleId="382">
    <w:name w:val="脚注文本 New"/>
    <w:basedOn w:val="153"/>
    <w:qFormat/>
    <w:uiPriority w:val="0"/>
    <w:pPr>
      <w:snapToGrid w:val="0"/>
      <w:jc w:val="left"/>
    </w:pPr>
    <w:rPr>
      <w:sz w:val="18"/>
    </w:rPr>
  </w:style>
  <w:style w:type="paragraph" w:customStyle="1" w:styleId="383">
    <w:name w:val="xl4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sz w:val="24"/>
    </w:rPr>
  </w:style>
  <w:style w:type="paragraph" w:customStyle="1" w:styleId="384">
    <w:name w:val="xl53"/>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hint="eastAsia" w:ascii="仿宋_GB2312" w:hAnsi="Arial Unicode MS" w:eastAsia="仿宋_GB2312"/>
      <w:sz w:val="24"/>
    </w:rPr>
  </w:style>
  <w:style w:type="paragraph" w:customStyle="1" w:styleId="385">
    <w:name w:val="样式 标题 3 + (中文) 黑体 小四 非加粗 段前: 7.8 磅 段后: 0 磅 行距: 固定值 20 磅"/>
    <w:basedOn w:val="4"/>
    <w:qFormat/>
    <w:uiPriority w:val="0"/>
    <w:pPr>
      <w:spacing w:before="0" w:after="0" w:line="400" w:lineRule="exact"/>
    </w:pPr>
    <w:rPr>
      <w:rFonts w:eastAsia="黑体"/>
      <w:b w:val="0"/>
    </w:rPr>
  </w:style>
  <w:style w:type="table" w:customStyle="1" w:styleId="386">
    <w:name w:val="网格型1"/>
    <w:basedOn w:val="49"/>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87">
    <w:name w:val="网格型2"/>
    <w:basedOn w:val="49"/>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88">
    <w:name w:val="Revision"/>
    <w:hidden/>
    <w:unhideWhenUsed/>
    <w:qFormat/>
    <w:uiPriority w:val="99"/>
    <w:rPr>
      <w:rFonts w:ascii="黑体" w:hAnsi="黑体" w:eastAsia="楷体" w:cs="Times New Roman"/>
      <w:kern w:val="2"/>
      <w:sz w:val="21"/>
      <w:szCs w:val="20"/>
      <w:lang w:val="en-US" w:eastAsia="zh-CN" w:bidi="ar-SA"/>
    </w:rPr>
  </w:style>
  <w:style w:type="character" w:customStyle="1" w:styleId="389">
    <w:name w:val="列表段落 字符"/>
    <w:link w:val="179"/>
    <w:qFormat/>
    <w:uiPriority w:val="34"/>
    <w:rPr>
      <w:rFonts w:ascii="黑体" w:hAnsi="黑体" w:eastAsia="楷体" w:cs="Times New Roman"/>
      <w:szCs w:val="20"/>
    </w:rPr>
  </w:style>
  <w:style w:type="paragraph" w:customStyle="1" w:styleId="390">
    <w:name w:val="样式 正文缩进 + 首行缩进:  2 字符"/>
    <w:basedOn w:val="14"/>
    <w:qFormat/>
    <w:uiPriority w:val="0"/>
    <w:pPr>
      <w:spacing w:line="360" w:lineRule="auto"/>
      <w:ind w:firstLine="200"/>
    </w:pPr>
    <w:rPr>
      <w:rFonts w:ascii="Times New Roman" w:hAnsi="Times New Roman" w:eastAsia="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Microsoft_Visio_2003-2010___1.vsd"/><Relationship Id="rId5" Type="http://schemas.openxmlformats.org/officeDocument/2006/relationships/theme" Target="theme/theme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customXml" Target="../customXml/item2.xml"/><Relationship Id="rId4" Type="http://schemas.microsoft.com/office/2011/relationships/commentsExtended" Target="commentsExtended.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comments" Target="comments.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tiff"/><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BF5F61-357E-47C0-84CF-6F321E011D8C}">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3855</Words>
  <Characters>21974</Characters>
  <Lines>183</Lines>
  <Paragraphs>51</Paragraphs>
  <TotalTime>1809</TotalTime>
  <ScaleCrop>false</ScaleCrop>
  <LinksUpToDate>false</LinksUpToDate>
  <CharactersWithSpaces>25778</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2020-05-13T02:49:00Z</dcterms:created>
  <dc:creator>443691140@qq.com</dc:creator>
  <cp:lastModifiedBy>冯杰</cp:lastModifiedBy>
  <dcterms:modified xsi:type="dcterms:W3CDTF">2022-08-23T13:05:27Z</dcterms:modified>
  <cp:revision>373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