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pacing w:line="360" w:lineRule="auto"/>
        <w:rPr>
          <w:rFonts w:hint="default" w:eastAsiaTheme="minorEastAsia"/>
          <w:lang w:val="en-US" w:eastAsia="zh-CN"/>
        </w:rPr>
        <w:sectPr>
          <w:headerReference r:id="rId5" w:type="default"/>
          <w:pgSz w:w="11906" w:h="16838"/>
          <w:pgMar w:top="0" w:right="0" w:bottom="0" w:left="0"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1413510</wp:posOffset>
                </wp:positionH>
                <wp:positionV relativeFrom="paragraph">
                  <wp:posOffset>1917065</wp:posOffset>
                </wp:positionV>
                <wp:extent cx="5057140" cy="294640"/>
                <wp:effectExtent l="0" t="0" r="0" b="0"/>
                <wp:wrapNone/>
                <wp:docPr id="5" name="文本框 5"/>
                <wp:cNvGraphicFramePr/>
                <a:graphic xmlns:a="http://schemas.openxmlformats.org/drawingml/2006/main">
                  <a:graphicData uri="http://schemas.microsoft.com/office/word/2010/wordprocessingShape">
                    <wps:wsp>
                      <wps:cNvSpPr txBox="1"/>
                      <wps:spPr>
                        <a:xfrm>
                          <a:off x="4144010" y="2547620"/>
                          <a:ext cx="50571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思源黑体 CN Normal" w:hAnsi="思源黑体 CN Normal" w:eastAsia="思源黑体 CN Normal" w:cs="思源黑体 CN Normal"/>
                                <w:sz w:val="24"/>
                                <w:szCs w:val="24"/>
                              </w:rPr>
                            </w:pPr>
                            <w:r>
                              <w:rPr>
                                <w:rFonts w:hint="eastAsia" w:ascii="思源黑体 CN Normal" w:hAnsi="思源黑体 CN Normal" w:eastAsia="思源黑体 CN Normal" w:cs="思源黑体 CN Normal"/>
                                <w:sz w:val="24"/>
                                <w:szCs w:val="24"/>
                              </w:rPr>
                              <w:t>Enterprise Energy Consumption</w:t>
                            </w:r>
                            <w:r>
                              <w:rPr>
                                <w:rFonts w:hint="eastAsia" w:ascii="思源黑体 CN Normal" w:hAnsi="思源黑体 CN Normal" w:eastAsia="思源黑体 CN Normal" w:cs="思源黑体 CN Normal"/>
                                <w:sz w:val="24"/>
                                <w:szCs w:val="24"/>
                                <w:lang w:val="en-US" w:eastAsia="zh-CN"/>
                              </w:rPr>
                              <w:t xml:space="preserve"> </w:t>
                            </w:r>
                            <w:r>
                              <w:rPr>
                                <w:rFonts w:hint="eastAsia" w:ascii="思源黑体 CN Normal" w:hAnsi="思源黑体 CN Normal" w:eastAsia="思源黑体 CN Normal" w:cs="思源黑体 CN Normal"/>
                                <w:sz w:val="24"/>
                                <w:szCs w:val="24"/>
                              </w:rPr>
                              <w:t>Monitoring System Technical Scheme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3pt;margin-top:150.95pt;height:23.2pt;width:398.2pt;z-index:251660288;mso-width-relative:page;mso-height-relative:page;" filled="f" stroked="f" coordsize="21600,21600" o:gfxdata="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EUHJ2wAAAAwBAAAPAAAAAAAAAAEA&#10;IAAAACIAAABkcnMvZG93bnJldi54bWxQSwECFAAUAAAACACHTuJAQD/47EUCAAByBAAADgAAAAAA&#10;AAABACAAAAAq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思源黑体 CN Normal" w:hAnsi="思源黑体 CN Normal" w:eastAsia="思源黑体 CN Normal" w:cs="思源黑体 CN Normal"/>
                          <w:sz w:val="24"/>
                          <w:szCs w:val="24"/>
                        </w:rPr>
                      </w:pPr>
                      <w:r>
                        <w:rPr>
                          <w:rFonts w:hint="eastAsia" w:ascii="思源黑体 CN Normal" w:hAnsi="思源黑体 CN Normal" w:eastAsia="思源黑体 CN Normal" w:cs="思源黑体 CN Normal"/>
                          <w:sz w:val="24"/>
                          <w:szCs w:val="24"/>
                        </w:rPr>
                        <w:t>Enterprise Energy Consumption</w:t>
                      </w:r>
                      <w:r>
                        <w:rPr>
                          <w:rFonts w:hint="eastAsia" w:ascii="思源黑体 CN Normal" w:hAnsi="思源黑体 CN Normal" w:eastAsia="思源黑体 CN Normal" w:cs="思源黑体 CN Normal"/>
                          <w:sz w:val="24"/>
                          <w:szCs w:val="24"/>
                          <w:lang w:val="en-US" w:eastAsia="zh-CN"/>
                        </w:rPr>
                        <w:t xml:space="preserve"> </w:t>
                      </w:r>
                      <w:r>
                        <w:rPr>
                          <w:rFonts w:hint="eastAsia" w:ascii="思源黑体 CN Normal" w:hAnsi="思源黑体 CN Normal" w:eastAsia="思源黑体 CN Normal" w:cs="思源黑体 CN Normal"/>
                          <w:sz w:val="24"/>
                          <w:szCs w:val="24"/>
                        </w:rPr>
                        <w:t>Monitoring System Technical Scheme</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675640</wp:posOffset>
                </wp:positionH>
                <wp:positionV relativeFrom="paragraph">
                  <wp:posOffset>519430</wp:posOffset>
                </wp:positionV>
                <wp:extent cx="6253480" cy="894080"/>
                <wp:effectExtent l="0" t="0" r="0" b="0"/>
                <wp:wrapNone/>
                <wp:docPr id="3" name="文本框 3"/>
                <wp:cNvGraphicFramePr/>
                <a:graphic xmlns:a="http://schemas.openxmlformats.org/drawingml/2006/main">
                  <a:graphicData uri="http://schemas.microsoft.com/office/word/2010/wordprocessingShape">
                    <wps:wsp>
                      <wps:cNvSpPr txBox="1"/>
                      <wps:spPr>
                        <a:xfrm>
                          <a:off x="3638550" y="1652905"/>
                          <a:ext cx="6253480" cy="894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sz w:val="72"/>
                                <w:szCs w:val="72"/>
                                <w:lang w:val="en-US" w:eastAsia="zh-CN"/>
                              </w:rPr>
                            </w:pPr>
                            <w:r>
                              <w:rPr>
                                <w:rFonts w:hint="eastAsia" w:ascii="思源黑体 CN Bold" w:hAnsi="思源黑体 CN Bold" w:eastAsia="思源黑体 CN Bold" w:cs="思源黑体 CN Bold"/>
                                <w:sz w:val="72"/>
                                <w:szCs w:val="72"/>
                              </w:rPr>
                              <w:t>企业能耗监测系统</w:t>
                            </w:r>
                            <w:r>
                              <w:rPr>
                                <w:rFonts w:hint="eastAsia" w:ascii="思源黑体 CN Bold" w:hAnsi="思源黑体 CN Bold" w:eastAsia="思源黑体 CN Bold" w:cs="思源黑体 CN Bold"/>
                                <w:sz w:val="72"/>
                                <w:szCs w:val="72"/>
                                <w:lang w:val="en-US" w:eastAsia="zh-CN"/>
                              </w:rPr>
                              <w:t>技术方案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2pt;margin-top:40.9pt;height:70.4pt;width:492.4pt;z-index:251659264;mso-width-relative:page;mso-height-relative:page;" filled="f" stroked="f" coordsize="21600,21600" o:gfxdata="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fzaBdoAAAALAQAADwAAAAAAAAABACAA&#10;AAAiAAAAZHJzL2Rvd25yZXYueG1sUEsBAhQAFAAAAAgAh07iQFBzLpBEAgAAcgQAAA4AAAAAAAAA&#10;AQAgAAAAKQEAAGRycy9lMm9Eb2MueG1sUEsFBgAAAAAGAAYAWQEAAN8FAAAAAA==&#10;">
                <v:fill on="f" focussize="0,0"/>
                <v:stroke on="f" weight="0.5pt"/>
                <v:imagedata o:title=""/>
                <o:lock v:ext="edit" aspectratio="f"/>
                <v:textbox>
                  <w:txbxContent>
                    <w:p>
                      <w:pPr>
                        <w:jc w:val="center"/>
                        <w:rPr>
                          <w:rFonts w:hint="eastAsia" w:ascii="微软雅黑" w:hAnsi="微软雅黑" w:eastAsia="微软雅黑" w:cs="微软雅黑"/>
                          <w:sz w:val="72"/>
                          <w:szCs w:val="72"/>
                          <w:lang w:val="en-US" w:eastAsia="zh-CN"/>
                        </w:rPr>
                      </w:pPr>
                      <w:r>
                        <w:rPr>
                          <w:rFonts w:hint="eastAsia" w:ascii="思源黑体 CN Bold" w:hAnsi="思源黑体 CN Bold" w:eastAsia="思源黑体 CN Bold" w:cs="思源黑体 CN Bold"/>
                          <w:sz w:val="72"/>
                          <w:szCs w:val="72"/>
                        </w:rPr>
                        <w:t>企业能耗监测系统</w:t>
                      </w:r>
                      <w:r>
                        <w:rPr>
                          <w:rFonts w:hint="eastAsia" w:ascii="思源黑体 CN Bold" w:hAnsi="思源黑体 CN Bold" w:eastAsia="思源黑体 CN Bold" w:cs="思源黑体 CN Bold"/>
                          <w:sz w:val="72"/>
                          <w:szCs w:val="72"/>
                          <w:lang w:val="en-US" w:eastAsia="zh-CN"/>
                        </w:rPr>
                        <w:t>技术方案</w:t>
                      </w:r>
                    </w:p>
                  </w:txbxContent>
                </v:textbox>
              </v:shape>
            </w:pict>
          </mc:Fallback>
        </mc:AlternateContent>
      </w:r>
    </w:p>
    <w:sdt>
      <w:sdtPr>
        <w:rPr>
          <w:rFonts w:ascii="宋体" w:hAnsi="宋体" w:eastAsia="宋体" w:cstheme="minorBidi"/>
          <w:kern w:val="2"/>
          <w:sz w:val="32"/>
          <w:szCs w:val="40"/>
          <w:lang w:val="en-US" w:eastAsia="zh-CN" w:bidi="ar-SA"/>
        </w:rPr>
        <w:id w:val="147466791"/>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40"/>
              <w:szCs w:val="40"/>
            </w:rPr>
          </w:pPr>
          <w:bookmarkStart w:id="0" w:name="_Toc14990"/>
          <w:r>
            <w:rPr>
              <w:rFonts w:ascii="宋体" w:hAnsi="宋体" w:eastAsia="宋体"/>
              <w:sz w:val="32"/>
              <w:szCs w:val="40"/>
            </w:rPr>
            <w:t>目录</w:t>
          </w:r>
        </w:p>
        <w:p>
          <w:pPr>
            <w:pStyle w:val="18"/>
            <w:tabs>
              <w:tab w:val="right" w:leader="dot" w:pos="9072"/>
            </w:tabs>
          </w:pPr>
          <w:r>
            <w:fldChar w:fldCharType="begin"/>
          </w:r>
          <w:r>
            <w:instrText xml:space="preserve">TOC \o "1-3" \h \u </w:instrText>
          </w:r>
          <w:r>
            <w:fldChar w:fldCharType="separate"/>
          </w:r>
          <w:r>
            <w:fldChar w:fldCharType="begin"/>
          </w:r>
          <w:r>
            <w:instrText xml:space="preserve"> HYPERLINK \l _Toc23185 </w:instrText>
          </w:r>
          <w:r>
            <w:fldChar w:fldCharType="separate"/>
          </w:r>
          <w:r>
            <w:rPr>
              <w:rFonts w:hint="eastAsia"/>
              <w:bCs w:val="0"/>
            </w:rPr>
            <w:t>1.1. 建设目标</w:t>
          </w:r>
          <w:r>
            <w:tab/>
          </w:r>
          <w:r>
            <w:fldChar w:fldCharType="begin"/>
          </w:r>
          <w:r>
            <w:instrText xml:space="preserve"> PAGEREF _Toc23185 \h </w:instrText>
          </w:r>
          <w:r>
            <w:fldChar w:fldCharType="separate"/>
          </w:r>
          <w:r>
            <w:t>- 3 -</w:t>
          </w:r>
          <w:r>
            <w:fldChar w:fldCharType="end"/>
          </w:r>
          <w:r>
            <w:fldChar w:fldCharType="end"/>
          </w:r>
        </w:p>
        <w:p>
          <w:pPr>
            <w:pStyle w:val="18"/>
            <w:tabs>
              <w:tab w:val="right" w:leader="dot" w:pos="9072"/>
            </w:tabs>
          </w:pPr>
          <w:r>
            <w:fldChar w:fldCharType="begin"/>
          </w:r>
          <w:r>
            <w:instrText xml:space="preserve"> HYPERLINK \l _Toc1493 </w:instrText>
          </w:r>
          <w:r>
            <w:fldChar w:fldCharType="separate"/>
          </w:r>
          <w:r>
            <w:rPr>
              <w:rFonts w:hint="eastAsia"/>
              <w:bCs w:val="0"/>
            </w:rPr>
            <w:t>1.2. 项目背景</w:t>
          </w:r>
          <w:r>
            <w:tab/>
          </w:r>
          <w:r>
            <w:fldChar w:fldCharType="begin"/>
          </w:r>
          <w:r>
            <w:instrText xml:space="preserve"> PAGEREF _Toc1493 \h </w:instrText>
          </w:r>
          <w:r>
            <w:fldChar w:fldCharType="separate"/>
          </w:r>
          <w:r>
            <w:t>- 3 -</w:t>
          </w:r>
          <w:r>
            <w:fldChar w:fldCharType="end"/>
          </w:r>
          <w:r>
            <w:fldChar w:fldCharType="end"/>
          </w:r>
        </w:p>
        <w:p>
          <w:pPr>
            <w:pStyle w:val="18"/>
            <w:tabs>
              <w:tab w:val="right" w:leader="dot" w:pos="9072"/>
            </w:tabs>
          </w:pPr>
          <w:r>
            <w:fldChar w:fldCharType="begin"/>
          </w:r>
          <w:r>
            <w:instrText xml:space="preserve"> HYPERLINK \l _Toc1713 </w:instrText>
          </w:r>
          <w:r>
            <w:fldChar w:fldCharType="separate"/>
          </w:r>
          <w:r>
            <w:rPr>
              <w:rFonts w:hint="eastAsia"/>
              <w:bCs w:val="0"/>
            </w:rPr>
            <w:t>1.3. 项目需求</w:t>
          </w:r>
          <w:r>
            <w:tab/>
          </w:r>
          <w:r>
            <w:fldChar w:fldCharType="begin"/>
          </w:r>
          <w:r>
            <w:instrText xml:space="preserve"> PAGEREF _Toc1713 \h </w:instrText>
          </w:r>
          <w:r>
            <w:fldChar w:fldCharType="separate"/>
          </w:r>
          <w:r>
            <w:t>- 5 -</w:t>
          </w:r>
          <w:r>
            <w:fldChar w:fldCharType="end"/>
          </w:r>
          <w:r>
            <w:fldChar w:fldCharType="end"/>
          </w:r>
        </w:p>
        <w:p>
          <w:pPr>
            <w:pStyle w:val="18"/>
            <w:tabs>
              <w:tab w:val="right" w:leader="dot" w:pos="9072"/>
            </w:tabs>
          </w:pPr>
          <w:r>
            <w:fldChar w:fldCharType="begin"/>
          </w:r>
          <w:r>
            <w:instrText xml:space="preserve"> HYPERLINK \l _Toc32599 </w:instrText>
          </w:r>
          <w:r>
            <w:fldChar w:fldCharType="separate"/>
          </w:r>
          <w:r>
            <w:rPr>
              <w:rFonts w:hint="eastAsia"/>
              <w:bCs w:val="0"/>
            </w:rPr>
            <w:t>1.4. 建设必要性</w:t>
          </w:r>
          <w:r>
            <w:tab/>
          </w:r>
          <w:r>
            <w:fldChar w:fldCharType="begin"/>
          </w:r>
          <w:r>
            <w:instrText xml:space="preserve"> PAGEREF _Toc32599 \h </w:instrText>
          </w:r>
          <w:r>
            <w:fldChar w:fldCharType="separate"/>
          </w:r>
          <w:r>
            <w:t>- 6 -</w:t>
          </w:r>
          <w:r>
            <w:fldChar w:fldCharType="end"/>
          </w:r>
          <w:r>
            <w:fldChar w:fldCharType="end"/>
          </w:r>
        </w:p>
        <w:p>
          <w:pPr>
            <w:pStyle w:val="14"/>
            <w:tabs>
              <w:tab w:val="right" w:leader="dot" w:pos="9072"/>
            </w:tabs>
          </w:pPr>
          <w:r>
            <w:fldChar w:fldCharType="begin"/>
          </w:r>
          <w:r>
            <w:instrText xml:space="preserve"> HYPERLINK \l _Toc23078 </w:instrText>
          </w:r>
          <w:r>
            <w:fldChar w:fldCharType="separate"/>
          </w:r>
          <w:r>
            <w:rPr>
              <w:rFonts w:hint="eastAsia"/>
              <w:lang w:val="en-US" w:eastAsia="zh-CN"/>
            </w:rPr>
            <w:t>1.4.1. 工业能源管理与节能工作监督、监察和管理的需要</w:t>
          </w:r>
          <w:r>
            <w:tab/>
          </w:r>
          <w:r>
            <w:fldChar w:fldCharType="begin"/>
          </w:r>
          <w:r>
            <w:instrText xml:space="preserve"> PAGEREF _Toc23078 \h </w:instrText>
          </w:r>
          <w:r>
            <w:fldChar w:fldCharType="separate"/>
          </w:r>
          <w:r>
            <w:t>- 6 -</w:t>
          </w:r>
          <w:r>
            <w:fldChar w:fldCharType="end"/>
          </w:r>
          <w:r>
            <w:fldChar w:fldCharType="end"/>
          </w:r>
        </w:p>
        <w:p>
          <w:pPr>
            <w:pStyle w:val="14"/>
            <w:tabs>
              <w:tab w:val="right" w:leader="dot" w:pos="9072"/>
            </w:tabs>
          </w:pPr>
          <w:r>
            <w:fldChar w:fldCharType="begin"/>
          </w:r>
          <w:r>
            <w:instrText xml:space="preserve"> HYPERLINK \l _Toc6186 </w:instrText>
          </w:r>
          <w:r>
            <w:fldChar w:fldCharType="separate"/>
          </w:r>
          <w:r>
            <w:rPr>
              <w:rFonts w:hint="eastAsia"/>
              <w:lang w:val="en-US" w:eastAsia="zh-CN"/>
            </w:rPr>
            <w:t>1.4.2. 工业能效提升的需要</w:t>
          </w:r>
          <w:r>
            <w:tab/>
          </w:r>
          <w:r>
            <w:fldChar w:fldCharType="begin"/>
          </w:r>
          <w:r>
            <w:instrText xml:space="preserve"> PAGEREF _Toc6186 \h </w:instrText>
          </w:r>
          <w:r>
            <w:fldChar w:fldCharType="separate"/>
          </w:r>
          <w:r>
            <w:t>- 6 -</w:t>
          </w:r>
          <w:r>
            <w:fldChar w:fldCharType="end"/>
          </w:r>
          <w:r>
            <w:fldChar w:fldCharType="end"/>
          </w:r>
        </w:p>
        <w:p>
          <w:pPr>
            <w:pStyle w:val="14"/>
            <w:tabs>
              <w:tab w:val="right" w:leader="dot" w:pos="9072"/>
            </w:tabs>
          </w:pPr>
          <w:r>
            <w:fldChar w:fldCharType="begin"/>
          </w:r>
          <w:r>
            <w:instrText xml:space="preserve"> HYPERLINK \l _Toc23736 </w:instrText>
          </w:r>
          <w:r>
            <w:fldChar w:fldCharType="separate"/>
          </w:r>
          <w:r>
            <w:rPr>
              <w:rFonts w:hint="eastAsia"/>
              <w:lang w:val="en-US" w:eastAsia="zh-CN"/>
            </w:rPr>
            <w:t>1.4.3. 能源供需预警的需要</w:t>
          </w:r>
          <w:r>
            <w:tab/>
          </w:r>
          <w:r>
            <w:fldChar w:fldCharType="begin"/>
          </w:r>
          <w:r>
            <w:instrText xml:space="preserve"> PAGEREF _Toc23736 \h </w:instrText>
          </w:r>
          <w:r>
            <w:fldChar w:fldCharType="separate"/>
          </w:r>
          <w:r>
            <w:t>- 6 -</w:t>
          </w:r>
          <w:r>
            <w:fldChar w:fldCharType="end"/>
          </w:r>
          <w:r>
            <w:fldChar w:fldCharType="end"/>
          </w:r>
        </w:p>
        <w:p>
          <w:pPr>
            <w:pStyle w:val="14"/>
            <w:tabs>
              <w:tab w:val="right" w:leader="dot" w:pos="9072"/>
            </w:tabs>
          </w:pPr>
          <w:r>
            <w:fldChar w:fldCharType="begin"/>
          </w:r>
          <w:r>
            <w:instrText xml:space="preserve"> HYPERLINK \l _Toc5487 </w:instrText>
          </w:r>
          <w:r>
            <w:fldChar w:fldCharType="separate"/>
          </w:r>
          <w:r>
            <w:rPr>
              <w:rFonts w:hint="eastAsia"/>
              <w:lang w:val="en-US" w:eastAsia="zh-CN"/>
            </w:rPr>
            <w:t>1.4.4. 信息化建设的需要</w:t>
          </w:r>
          <w:r>
            <w:tab/>
          </w:r>
          <w:r>
            <w:fldChar w:fldCharType="begin"/>
          </w:r>
          <w:r>
            <w:instrText xml:space="preserve"> PAGEREF _Toc5487 \h </w:instrText>
          </w:r>
          <w:r>
            <w:fldChar w:fldCharType="separate"/>
          </w:r>
          <w:r>
            <w:t>- 7 -</w:t>
          </w:r>
          <w:r>
            <w:fldChar w:fldCharType="end"/>
          </w:r>
          <w:r>
            <w:fldChar w:fldCharType="end"/>
          </w:r>
        </w:p>
        <w:p>
          <w:pPr>
            <w:pStyle w:val="18"/>
            <w:tabs>
              <w:tab w:val="right" w:leader="dot" w:pos="9072"/>
            </w:tabs>
          </w:pPr>
          <w:r>
            <w:fldChar w:fldCharType="begin"/>
          </w:r>
          <w:r>
            <w:instrText xml:space="preserve"> HYPERLINK \l _Toc4506 </w:instrText>
          </w:r>
          <w:r>
            <w:fldChar w:fldCharType="separate"/>
          </w:r>
          <w:r>
            <w:rPr>
              <w:rFonts w:hint="eastAsia"/>
              <w:bCs w:val="0"/>
            </w:rPr>
            <w:t>1.5. 遵循标准</w:t>
          </w:r>
          <w:r>
            <w:tab/>
          </w:r>
          <w:r>
            <w:fldChar w:fldCharType="begin"/>
          </w:r>
          <w:r>
            <w:instrText xml:space="preserve"> PAGEREF _Toc4506 \h </w:instrText>
          </w:r>
          <w:r>
            <w:fldChar w:fldCharType="separate"/>
          </w:r>
          <w:r>
            <w:t>- 7 -</w:t>
          </w:r>
          <w:r>
            <w:fldChar w:fldCharType="end"/>
          </w:r>
          <w:r>
            <w:fldChar w:fldCharType="end"/>
          </w:r>
        </w:p>
        <w:p>
          <w:pPr>
            <w:pStyle w:val="14"/>
            <w:tabs>
              <w:tab w:val="right" w:leader="dot" w:pos="9072"/>
            </w:tabs>
          </w:pPr>
          <w:r>
            <w:fldChar w:fldCharType="begin"/>
          </w:r>
          <w:r>
            <w:instrText xml:space="preserve"> HYPERLINK \l _Toc15828 </w:instrText>
          </w:r>
          <w:r>
            <w:fldChar w:fldCharType="separate"/>
          </w:r>
          <w:r>
            <w:rPr>
              <w:rFonts w:hint="eastAsia"/>
              <w:lang w:val="en-US" w:eastAsia="zh-CN"/>
            </w:rPr>
            <w:t>1.5.1. 技术标准</w:t>
          </w:r>
          <w:r>
            <w:tab/>
          </w:r>
          <w:r>
            <w:fldChar w:fldCharType="begin"/>
          </w:r>
          <w:r>
            <w:instrText xml:space="preserve"> PAGEREF _Toc15828 \h </w:instrText>
          </w:r>
          <w:r>
            <w:fldChar w:fldCharType="separate"/>
          </w:r>
          <w:r>
            <w:t>- 7 -</w:t>
          </w:r>
          <w:r>
            <w:fldChar w:fldCharType="end"/>
          </w:r>
          <w:r>
            <w:fldChar w:fldCharType="end"/>
          </w:r>
        </w:p>
        <w:p>
          <w:pPr>
            <w:pStyle w:val="14"/>
            <w:tabs>
              <w:tab w:val="right" w:leader="dot" w:pos="9072"/>
            </w:tabs>
          </w:pPr>
          <w:r>
            <w:fldChar w:fldCharType="begin"/>
          </w:r>
          <w:r>
            <w:instrText xml:space="preserve"> HYPERLINK \l _Toc23522 </w:instrText>
          </w:r>
          <w:r>
            <w:fldChar w:fldCharType="separate"/>
          </w:r>
          <w:r>
            <w:rPr>
              <w:rFonts w:hint="eastAsia"/>
              <w:lang w:val="en-US" w:eastAsia="zh-CN"/>
            </w:rPr>
            <w:t>1.5.2. 计量器具标准</w:t>
          </w:r>
          <w:r>
            <w:tab/>
          </w:r>
          <w:r>
            <w:fldChar w:fldCharType="begin"/>
          </w:r>
          <w:r>
            <w:instrText xml:space="preserve"> PAGEREF _Toc23522 \h </w:instrText>
          </w:r>
          <w:r>
            <w:fldChar w:fldCharType="separate"/>
          </w:r>
          <w:r>
            <w:t>- 7 -</w:t>
          </w:r>
          <w:r>
            <w:fldChar w:fldCharType="end"/>
          </w:r>
          <w:r>
            <w:fldChar w:fldCharType="end"/>
          </w:r>
        </w:p>
        <w:p>
          <w:pPr>
            <w:pStyle w:val="14"/>
            <w:tabs>
              <w:tab w:val="right" w:leader="dot" w:pos="9072"/>
            </w:tabs>
          </w:pPr>
          <w:r>
            <w:fldChar w:fldCharType="begin"/>
          </w:r>
          <w:r>
            <w:instrText xml:space="preserve"> HYPERLINK \l _Toc19128 </w:instrText>
          </w:r>
          <w:r>
            <w:fldChar w:fldCharType="separate"/>
          </w:r>
          <w:r>
            <w:rPr>
              <w:rFonts w:hint="eastAsia"/>
              <w:lang w:val="en-US" w:eastAsia="zh-CN"/>
            </w:rPr>
            <w:t>1.5.3. 通信协议标准</w:t>
          </w:r>
          <w:r>
            <w:tab/>
          </w:r>
          <w:r>
            <w:fldChar w:fldCharType="begin"/>
          </w:r>
          <w:r>
            <w:instrText xml:space="preserve"> PAGEREF _Toc19128 \h </w:instrText>
          </w:r>
          <w:r>
            <w:fldChar w:fldCharType="separate"/>
          </w:r>
          <w:r>
            <w:t>- 8 -</w:t>
          </w:r>
          <w:r>
            <w:fldChar w:fldCharType="end"/>
          </w:r>
          <w:r>
            <w:fldChar w:fldCharType="end"/>
          </w:r>
        </w:p>
        <w:p>
          <w:pPr>
            <w:pStyle w:val="14"/>
            <w:tabs>
              <w:tab w:val="right" w:leader="dot" w:pos="9072"/>
            </w:tabs>
          </w:pPr>
          <w:r>
            <w:fldChar w:fldCharType="begin"/>
          </w:r>
          <w:r>
            <w:instrText xml:space="preserve"> HYPERLINK \l _Toc20389 </w:instrText>
          </w:r>
          <w:r>
            <w:fldChar w:fldCharType="separate"/>
          </w:r>
          <w:r>
            <w:rPr>
              <w:rFonts w:hint="eastAsia"/>
              <w:lang w:val="en-US" w:eastAsia="zh-CN"/>
            </w:rPr>
            <w:t>1.5.4. 主站系统标准</w:t>
          </w:r>
          <w:r>
            <w:tab/>
          </w:r>
          <w:r>
            <w:fldChar w:fldCharType="begin"/>
          </w:r>
          <w:r>
            <w:instrText xml:space="preserve"> PAGEREF _Toc20389 \h </w:instrText>
          </w:r>
          <w:r>
            <w:fldChar w:fldCharType="separate"/>
          </w:r>
          <w:r>
            <w:t>- 8 -</w:t>
          </w:r>
          <w:r>
            <w:fldChar w:fldCharType="end"/>
          </w:r>
          <w:r>
            <w:fldChar w:fldCharType="end"/>
          </w:r>
        </w:p>
        <w:p>
          <w:pPr>
            <w:pStyle w:val="14"/>
            <w:tabs>
              <w:tab w:val="right" w:leader="dot" w:pos="9072"/>
            </w:tabs>
          </w:pPr>
          <w:r>
            <w:fldChar w:fldCharType="begin"/>
          </w:r>
          <w:r>
            <w:instrText xml:space="preserve"> HYPERLINK \l _Toc1856 </w:instrText>
          </w:r>
          <w:r>
            <w:fldChar w:fldCharType="separate"/>
          </w:r>
          <w:r>
            <w:rPr>
              <w:rFonts w:hint="eastAsia"/>
              <w:lang w:val="en-US" w:eastAsia="zh-CN"/>
            </w:rPr>
            <w:t>1.5.5. 设备安装标准</w:t>
          </w:r>
          <w:r>
            <w:tab/>
          </w:r>
          <w:r>
            <w:fldChar w:fldCharType="begin"/>
          </w:r>
          <w:r>
            <w:instrText xml:space="preserve"> PAGEREF _Toc1856 \h </w:instrText>
          </w:r>
          <w:r>
            <w:fldChar w:fldCharType="separate"/>
          </w:r>
          <w:r>
            <w:t>- 8 -</w:t>
          </w:r>
          <w:r>
            <w:fldChar w:fldCharType="end"/>
          </w:r>
          <w:r>
            <w:fldChar w:fldCharType="end"/>
          </w:r>
        </w:p>
        <w:p>
          <w:pPr>
            <w:pStyle w:val="17"/>
            <w:tabs>
              <w:tab w:val="right" w:leader="dot" w:pos="9072"/>
            </w:tabs>
          </w:pPr>
          <w:r>
            <w:fldChar w:fldCharType="begin"/>
          </w:r>
          <w:r>
            <w:instrText xml:space="preserve"> HYPERLINK \l _Toc7478 </w:instrText>
          </w:r>
          <w:r>
            <w:fldChar w:fldCharType="separate"/>
          </w:r>
          <w:r>
            <w:rPr>
              <w:rFonts w:hint="eastAsia"/>
              <w:szCs w:val="44"/>
              <w:lang w:val="en-US" w:eastAsia="zh-CN"/>
            </w:rPr>
            <w:t xml:space="preserve">第二章 </w:t>
          </w:r>
          <w:r>
            <w:rPr>
              <w:rFonts w:hint="eastAsia"/>
              <w:lang w:val="en-US" w:eastAsia="zh-CN"/>
            </w:rPr>
            <w:t>技术方案</w:t>
          </w:r>
          <w:r>
            <w:tab/>
          </w:r>
          <w:r>
            <w:fldChar w:fldCharType="begin"/>
          </w:r>
          <w:r>
            <w:instrText xml:space="preserve"> PAGEREF _Toc7478 \h </w:instrText>
          </w:r>
          <w:r>
            <w:fldChar w:fldCharType="separate"/>
          </w:r>
          <w:r>
            <w:t>- 9 -</w:t>
          </w:r>
          <w:r>
            <w:fldChar w:fldCharType="end"/>
          </w:r>
          <w:r>
            <w:fldChar w:fldCharType="end"/>
          </w:r>
        </w:p>
        <w:p>
          <w:pPr>
            <w:pStyle w:val="18"/>
            <w:tabs>
              <w:tab w:val="right" w:leader="dot" w:pos="9072"/>
            </w:tabs>
          </w:pPr>
          <w:r>
            <w:fldChar w:fldCharType="begin"/>
          </w:r>
          <w:r>
            <w:instrText xml:space="preserve"> HYPERLINK \l _Toc13619 </w:instrText>
          </w:r>
          <w:r>
            <w:fldChar w:fldCharType="separate"/>
          </w:r>
          <w:r>
            <w:rPr>
              <w:rFonts w:hint="eastAsia"/>
              <w:bCs w:val="0"/>
            </w:rPr>
            <w:t>2.1. 方案设计</w:t>
          </w:r>
          <w:r>
            <w:tab/>
          </w:r>
          <w:r>
            <w:fldChar w:fldCharType="begin"/>
          </w:r>
          <w:r>
            <w:instrText xml:space="preserve"> PAGEREF _Toc13619 \h </w:instrText>
          </w:r>
          <w:r>
            <w:fldChar w:fldCharType="separate"/>
          </w:r>
          <w:r>
            <w:t>- 9 -</w:t>
          </w:r>
          <w:r>
            <w:fldChar w:fldCharType="end"/>
          </w:r>
          <w:r>
            <w:fldChar w:fldCharType="end"/>
          </w:r>
        </w:p>
        <w:p>
          <w:pPr>
            <w:pStyle w:val="18"/>
            <w:tabs>
              <w:tab w:val="right" w:leader="dot" w:pos="9072"/>
            </w:tabs>
          </w:pPr>
          <w:r>
            <w:fldChar w:fldCharType="begin"/>
          </w:r>
          <w:r>
            <w:instrText xml:space="preserve"> HYPERLINK \l _Toc28435 </w:instrText>
          </w:r>
          <w:r>
            <w:fldChar w:fldCharType="separate"/>
          </w:r>
          <w:r>
            <w:rPr>
              <w:rFonts w:hint="eastAsia"/>
              <w:bCs w:val="0"/>
            </w:rPr>
            <w:t>2.2. 方案特点</w:t>
          </w:r>
          <w:r>
            <w:tab/>
          </w:r>
          <w:r>
            <w:fldChar w:fldCharType="begin"/>
          </w:r>
          <w:r>
            <w:instrText xml:space="preserve"> PAGEREF _Toc28435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_Toc19864 </w:instrText>
          </w:r>
          <w:r>
            <w:fldChar w:fldCharType="separate"/>
          </w:r>
          <w:r>
            <w:rPr>
              <w:rFonts w:hint="default" w:asciiTheme="minorEastAsia" w:hAnsiTheme="minorEastAsia" w:eastAsiaTheme="minorEastAsia" w:cstheme="minorEastAsia"/>
            </w:rPr>
            <w:t xml:space="preserve">1) </w:t>
          </w:r>
          <w:r>
            <w:rPr>
              <w:rFonts w:hint="eastAsia" w:asciiTheme="minorEastAsia" w:hAnsiTheme="minorEastAsia" w:eastAsiaTheme="minorEastAsia" w:cstheme="minorEastAsia"/>
            </w:rPr>
            <w:t>突出重点，实用为主</w:t>
          </w:r>
          <w:r>
            <w:tab/>
          </w:r>
          <w:r>
            <w:fldChar w:fldCharType="begin"/>
          </w:r>
          <w:r>
            <w:instrText xml:space="preserve"> PAGEREF _Toc19864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_Toc6280 </w:instrText>
          </w:r>
          <w:r>
            <w:fldChar w:fldCharType="separate"/>
          </w:r>
          <w:r>
            <w:rPr>
              <w:rFonts w:hint="default" w:asciiTheme="minorEastAsia" w:hAnsiTheme="minorEastAsia" w:eastAsiaTheme="minorEastAsia" w:cstheme="minorEastAsia"/>
            </w:rPr>
            <w:t xml:space="preserve">2) </w:t>
          </w:r>
          <w:r>
            <w:rPr>
              <w:rFonts w:hint="eastAsia" w:asciiTheme="minorEastAsia" w:hAnsiTheme="minorEastAsia" w:eastAsiaTheme="minorEastAsia" w:cstheme="minorEastAsia"/>
            </w:rPr>
            <w:t>传输数据稳定可靠</w:t>
          </w:r>
          <w:r>
            <w:tab/>
          </w:r>
          <w:r>
            <w:fldChar w:fldCharType="begin"/>
          </w:r>
          <w:r>
            <w:instrText xml:space="preserve"> PAGEREF _Toc6280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_Toc9069 </w:instrText>
          </w:r>
          <w:r>
            <w:fldChar w:fldCharType="separate"/>
          </w:r>
          <w:r>
            <w:rPr>
              <w:rFonts w:hint="default" w:asciiTheme="minorEastAsia" w:hAnsiTheme="minorEastAsia" w:eastAsiaTheme="minorEastAsia" w:cstheme="minorEastAsia"/>
            </w:rPr>
            <w:t xml:space="preserve">3) </w:t>
          </w:r>
          <w:r>
            <w:rPr>
              <w:rFonts w:hint="eastAsia" w:asciiTheme="minorEastAsia" w:hAnsiTheme="minorEastAsia" w:eastAsiaTheme="minorEastAsia" w:cstheme="minorEastAsia"/>
            </w:rPr>
            <w:t>组网方式因地制宜，灵活、可靠</w:t>
          </w:r>
          <w:r>
            <w:tab/>
          </w:r>
          <w:r>
            <w:fldChar w:fldCharType="begin"/>
          </w:r>
          <w:r>
            <w:instrText xml:space="preserve"> PAGEREF _Toc9069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_Toc8717 </w:instrText>
          </w:r>
          <w:r>
            <w:fldChar w:fldCharType="separate"/>
          </w:r>
          <w:r>
            <w:rPr>
              <w:rFonts w:hint="default" w:asciiTheme="minorEastAsia" w:hAnsiTheme="minorEastAsia" w:eastAsiaTheme="minorEastAsia" w:cstheme="minorEastAsia"/>
            </w:rPr>
            <w:t xml:space="preserve">4) </w:t>
          </w:r>
          <w:r>
            <w:rPr>
              <w:rFonts w:hint="eastAsia" w:asciiTheme="minorEastAsia" w:hAnsiTheme="minorEastAsia" w:eastAsiaTheme="minorEastAsia" w:cstheme="minorEastAsia"/>
            </w:rPr>
            <w:t>设备质量和售后服务保障有力</w:t>
          </w:r>
          <w:r>
            <w:tab/>
          </w:r>
          <w:r>
            <w:fldChar w:fldCharType="begin"/>
          </w:r>
          <w:r>
            <w:instrText xml:space="preserve"> PAGEREF _Toc8717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_Toc24818 </w:instrText>
          </w:r>
          <w:r>
            <w:fldChar w:fldCharType="separate"/>
          </w:r>
          <w:r>
            <w:rPr>
              <w:rFonts w:hint="default" w:asciiTheme="minorEastAsia" w:hAnsiTheme="minorEastAsia" w:eastAsiaTheme="minorEastAsia" w:cstheme="minorEastAsia"/>
            </w:rPr>
            <w:t xml:space="preserve">5) </w:t>
          </w:r>
          <w:r>
            <w:rPr>
              <w:rFonts w:hint="eastAsia" w:asciiTheme="minorEastAsia" w:hAnsiTheme="minorEastAsia" w:eastAsiaTheme="minorEastAsia" w:cstheme="minorEastAsia"/>
            </w:rPr>
            <w:t>产品优势</w:t>
          </w:r>
          <w:r>
            <w:tab/>
          </w:r>
          <w:r>
            <w:fldChar w:fldCharType="begin"/>
          </w:r>
          <w:r>
            <w:instrText xml:space="preserve"> PAGEREF _Toc24818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_Toc27110 </w:instrText>
          </w:r>
          <w:r>
            <w:fldChar w:fldCharType="separate"/>
          </w:r>
          <w:r>
            <w:rPr>
              <w:rFonts w:hint="default" w:asciiTheme="minorEastAsia" w:hAnsiTheme="minorEastAsia" w:eastAsiaTheme="minorEastAsia" w:cstheme="minorEastAsia"/>
            </w:rPr>
            <w:t xml:space="preserve">6) </w:t>
          </w:r>
          <w:r>
            <w:rPr>
              <w:rFonts w:hint="eastAsia" w:asciiTheme="minorEastAsia" w:hAnsiTheme="minorEastAsia" w:eastAsiaTheme="minorEastAsia" w:cstheme="minorEastAsia"/>
            </w:rPr>
            <w:t>系统先进</w:t>
          </w:r>
          <w:r>
            <w:tab/>
          </w:r>
          <w:r>
            <w:fldChar w:fldCharType="begin"/>
          </w:r>
          <w:r>
            <w:instrText xml:space="preserve"> PAGEREF _Toc27110 \h </w:instrText>
          </w:r>
          <w:r>
            <w:fldChar w:fldCharType="separate"/>
          </w:r>
          <w:r>
            <w:t>- 9 -</w:t>
          </w:r>
          <w:r>
            <w:fldChar w:fldCharType="end"/>
          </w:r>
          <w:r>
            <w:fldChar w:fldCharType="end"/>
          </w:r>
        </w:p>
        <w:p>
          <w:pPr>
            <w:pStyle w:val="14"/>
            <w:tabs>
              <w:tab w:val="right" w:leader="dot" w:pos="9072"/>
            </w:tabs>
          </w:pPr>
          <w:r>
            <w:fldChar w:fldCharType="begin"/>
          </w:r>
          <w:r>
            <w:instrText xml:space="preserve"> HYPERLINK \l _Toc23636 </w:instrText>
          </w:r>
          <w:r>
            <w:fldChar w:fldCharType="separate"/>
          </w:r>
          <w:r>
            <w:rPr>
              <w:rFonts w:hint="default" w:asciiTheme="minorEastAsia" w:hAnsiTheme="minorEastAsia" w:eastAsiaTheme="minorEastAsia" w:cstheme="minorEastAsia"/>
            </w:rPr>
            <w:t xml:space="preserve">7) </w:t>
          </w:r>
          <w:r>
            <w:rPr>
              <w:rFonts w:hint="eastAsia" w:asciiTheme="minorEastAsia" w:hAnsiTheme="minorEastAsia" w:eastAsiaTheme="minorEastAsia" w:cstheme="minorEastAsia"/>
            </w:rPr>
            <w:t>本地决策</w:t>
          </w:r>
          <w:r>
            <w:tab/>
          </w:r>
          <w:r>
            <w:fldChar w:fldCharType="begin"/>
          </w:r>
          <w:r>
            <w:instrText xml:space="preserve"> PAGEREF _Toc23636 \h </w:instrText>
          </w:r>
          <w:r>
            <w:fldChar w:fldCharType="separate"/>
          </w:r>
          <w:r>
            <w:t>- 10 -</w:t>
          </w:r>
          <w:r>
            <w:fldChar w:fldCharType="end"/>
          </w:r>
          <w:r>
            <w:fldChar w:fldCharType="end"/>
          </w:r>
        </w:p>
        <w:p>
          <w:pPr>
            <w:pStyle w:val="18"/>
            <w:tabs>
              <w:tab w:val="right" w:leader="dot" w:pos="9072"/>
            </w:tabs>
          </w:pPr>
          <w:r>
            <w:fldChar w:fldCharType="begin"/>
          </w:r>
          <w:r>
            <w:instrText xml:space="preserve"> HYPERLINK \l _Toc666 </w:instrText>
          </w:r>
          <w:r>
            <w:fldChar w:fldCharType="separate"/>
          </w:r>
          <w:r>
            <w:rPr>
              <w:rFonts w:hint="eastAsia"/>
              <w:bCs w:val="0"/>
            </w:rPr>
            <w:t>2.3. 设计原则</w:t>
          </w:r>
          <w:r>
            <w:tab/>
          </w:r>
          <w:r>
            <w:fldChar w:fldCharType="begin"/>
          </w:r>
          <w:r>
            <w:instrText xml:space="preserve"> PAGEREF _Toc666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_Toc26311 </w:instrText>
          </w:r>
          <w:r>
            <w:fldChar w:fldCharType="separate"/>
          </w:r>
          <w:r>
            <w:rPr>
              <w:rFonts w:hint="default" w:asciiTheme="minorEastAsia" w:hAnsiTheme="minorEastAsia" w:eastAsiaTheme="minorEastAsia" w:cstheme="minorEastAsia"/>
            </w:rPr>
            <w:t xml:space="preserve">1) </w:t>
          </w:r>
          <w:r>
            <w:rPr>
              <w:rFonts w:hint="eastAsia" w:asciiTheme="minorEastAsia" w:hAnsiTheme="minorEastAsia" w:eastAsiaTheme="minorEastAsia" w:cstheme="minorEastAsia"/>
            </w:rPr>
            <w:t>开放性</w:t>
          </w:r>
          <w:r>
            <w:tab/>
          </w:r>
          <w:r>
            <w:fldChar w:fldCharType="begin"/>
          </w:r>
          <w:r>
            <w:instrText xml:space="preserve"> PAGEREF _Toc26311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_Toc1587 </w:instrText>
          </w:r>
          <w:r>
            <w:fldChar w:fldCharType="separate"/>
          </w:r>
          <w:r>
            <w:rPr>
              <w:rFonts w:hint="default" w:asciiTheme="minorEastAsia" w:hAnsiTheme="minorEastAsia" w:eastAsiaTheme="minorEastAsia" w:cstheme="minorEastAsia"/>
            </w:rPr>
            <w:t xml:space="preserve">2) </w:t>
          </w:r>
          <w:r>
            <w:rPr>
              <w:rFonts w:hint="eastAsia" w:asciiTheme="minorEastAsia" w:hAnsiTheme="minorEastAsia" w:eastAsiaTheme="minorEastAsia" w:cstheme="minorEastAsia"/>
            </w:rPr>
            <w:t>功能完备性</w:t>
          </w:r>
          <w:r>
            <w:tab/>
          </w:r>
          <w:r>
            <w:fldChar w:fldCharType="begin"/>
          </w:r>
          <w:r>
            <w:instrText xml:space="preserve"> PAGEREF _Toc1587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_Toc4425 </w:instrText>
          </w:r>
          <w:r>
            <w:fldChar w:fldCharType="separate"/>
          </w:r>
          <w:r>
            <w:rPr>
              <w:rFonts w:hint="default" w:asciiTheme="minorEastAsia" w:hAnsiTheme="minorEastAsia" w:eastAsiaTheme="minorEastAsia" w:cstheme="minorEastAsia"/>
            </w:rPr>
            <w:t xml:space="preserve">3) </w:t>
          </w:r>
          <w:r>
            <w:rPr>
              <w:rFonts w:hint="eastAsia" w:asciiTheme="minorEastAsia" w:hAnsiTheme="minorEastAsia" w:eastAsiaTheme="minorEastAsia" w:cstheme="minorEastAsia"/>
            </w:rPr>
            <w:t>实时性</w:t>
          </w:r>
          <w:r>
            <w:tab/>
          </w:r>
          <w:r>
            <w:fldChar w:fldCharType="begin"/>
          </w:r>
          <w:r>
            <w:instrText xml:space="preserve"> PAGEREF _Toc4425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_Toc3174 </w:instrText>
          </w:r>
          <w:r>
            <w:fldChar w:fldCharType="separate"/>
          </w:r>
          <w:r>
            <w:rPr>
              <w:rFonts w:hint="default" w:asciiTheme="minorEastAsia" w:hAnsiTheme="minorEastAsia" w:eastAsiaTheme="minorEastAsia" w:cstheme="minorEastAsia"/>
            </w:rPr>
            <w:t xml:space="preserve">4) </w:t>
          </w:r>
          <w:r>
            <w:rPr>
              <w:rFonts w:hint="eastAsia" w:asciiTheme="minorEastAsia" w:hAnsiTheme="minorEastAsia" w:eastAsiaTheme="minorEastAsia" w:cstheme="minorEastAsia"/>
            </w:rPr>
            <w:t>用户友好性</w:t>
          </w:r>
          <w:r>
            <w:tab/>
          </w:r>
          <w:r>
            <w:fldChar w:fldCharType="begin"/>
          </w:r>
          <w:r>
            <w:instrText xml:space="preserve"> PAGEREF _Toc3174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_Toc31910 </w:instrText>
          </w:r>
          <w:r>
            <w:fldChar w:fldCharType="separate"/>
          </w:r>
          <w:r>
            <w:rPr>
              <w:rFonts w:hint="default" w:asciiTheme="minorEastAsia" w:hAnsiTheme="minorEastAsia" w:eastAsiaTheme="minorEastAsia" w:cstheme="minorEastAsia"/>
            </w:rPr>
            <w:t xml:space="preserve">5) </w:t>
          </w:r>
          <w:r>
            <w:rPr>
              <w:rFonts w:hint="eastAsia" w:asciiTheme="minorEastAsia" w:hAnsiTheme="minorEastAsia" w:eastAsiaTheme="minorEastAsia" w:cstheme="minorEastAsia"/>
            </w:rPr>
            <w:t>稳定性</w:t>
          </w:r>
          <w:r>
            <w:tab/>
          </w:r>
          <w:r>
            <w:fldChar w:fldCharType="begin"/>
          </w:r>
          <w:r>
            <w:instrText xml:space="preserve"> PAGEREF _Toc31910 \h </w:instrText>
          </w:r>
          <w:r>
            <w:fldChar w:fldCharType="separate"/>
          </w:r>
          <w:r>
            <w:t>- 10 -</w:t>
          </w:r>
          <w:r>
            <w:fldChar w:fldCharType="end"/>
          </w:r>
          <w:r>
            <w:fldChar w:fldCharType="end"/>
          </w:r>
        </w:p>
        <w:p>
          <w:pPr>
            <w:pStyle w:val="14"/>
            <w:tabs>
              <w:tab w:val="right" w:leader="dot" w:pos="9072"/>
            </w:tabs>
          </w:pPr>
          <w:r>
            <w:fldChar w:fldCharType="begin"/>
          </w:r>
          <w:r>
            <w:instrText xml:space="preserve"> HYPERLINK \l _Toc8978 </w:instrText>
          </w:r>
          <w:r>
            <w:fldChar w:fldCharType="separate"/>
          </w:r>
          <w:r>
            <w:rPr>
              <w:rFonts w:hint="default" w:asciiTheme="minorEastAsia" w:hAnsiTheme="minorEastAsia" w:eastAsiaTheme="minorEastAsia" w:cstheme="minorEastAsia"/>
            </w:rPr>
            <w:t xml:space="preserve">6) </w:t>
          </w:r>
          <w:r>
            <w:rPr>
              <w:rFonts w:hint="eastAsia" w:asciiTheme="minorEastAsia" w:hAnsiTheme="minorEastAsia" w:eastAsiaTheme="minorEastAsia" w:cstheme="minorEastAsia"/>
            </w:rPr>
            <w:t>可靠性</w:t>
          </w:r>
          <w:r>
            <w:tab/>
          </w:r>
          <w:r>
            <w:fldChar w:fldCharType="begin"/>
          </w:r>
          <w:r>
            <w:instrText xml:space="preserve"> PAGEREF _Toc8978 \h </w:instrText>
          </w:r>
          <w:r>
            <w:fldChar w:fldCharType="separate"/>
          </w:r>
          <w:r>
            <w:t>- 11 -</w:t>
          </w:r>
          <w:r>
            <w:fldChar w:fldCharType="end"/>
          </w:r>
          <w:r>
            <w:fldChar w:fldCharType="end"/>
          </w:r>
        </w:p>
        <w:p>
          <w:pPr>
            <w:pStyle w:val="18"/>
            <w:tabs>
              <w:tab w:val="right" w:leader="dot" w:pos="9072"/>
            </w:tabs>
          </w:pPr>
          <w:r>
            <w:fldChar w:fldCharType="begin"/>
          </w:r>
          <w:r>
            <w:instrText xml:space="preserve"> HYPERLINK \l _Toc13942 </w:instrText>
          </w:r>
          <w:r>
            <w:fldChar w:fldCharType="separate"/>
          </w:r>
          <w:r>
            <w:rPr>
              <w:rFonts w:hint="eastAsia"/>
              <w:bCs w:val="0"/>
            </w:rPr>
            <w:t>2.4. 架构设计</w:t>
          </w:r>
          <w:r>
            <w:tab/>
          </w:r>
          <w:r>
            <w:fldChar w:fldCharType="begin"/>
          </w:r>
          <w:r>
            <w:instrText xml:space="preserve"> PAGEREF _Toc13942 \h </w:instrText>
          </w:r>
          <w:r>
            <w:fldChar w:fldCharType="separate"/>
          </w:r>
          <w:r>
            <w:t>- 11 -</w:t>
          </w:r>
          <w:r>
            <w:fldChar w:fldCharType="end"/>
          </w:r>
          <w:r>
            <w:fldChar w:fldCharType="end"/>
          </w:r>
        </w:p>
        <w:p>
          <w:pPr>
            <w:pStyle w:val="14"/>
            <w:tabs>
              <w:tab w:val="right" w:leader="dot" w:pos="9072"/>
            </w:tabs>
          </w:pPr>
          <w:r>
            <w:fldChar w:fldCharType="begin"/>
          </w:r>
          <w:r>
            <w:instrText xml:space="preserve"> HYPERLINK \l _Toc25537 </w:instrText>
          </w:r>
          <w:r>
            <w:fldChar w:fldCharType="separate"/>
          </w:r>
          <w:r>
            <w:rPr>
              <w:rFonts w:hint="eastAsia"/>
              <w:lang w:val="en-US" w:eastAsia="zh-CN"/>
            </w:rPr>
            <w:t>2.4.1. 网络拓扑图</w:t>
          </w:r>
          <w:r>
            <w:tab/>
          </w:r>
          <w:r>
            <w:fldChar w:fldCharType="begin"/>
          </w:r>
          <w:r>
            <w:instrText xml:space="preserve"> PAGEREF _Toc25537 \h </w:instrText>
          </w:r>
          <w:r>
            <w:fldChar w:fldCharType="separate"/>
          </w:r>
          <w:r>
            <w:t>- 12 -</w:t>
          </w:r>
          <w:r>
            <w:fldChar w:fldCharType="end"/>
          </w:r>
          <w:r>
            <w:fldChar w:fldCharType="end"/>
          </w:r>
        </w:p>
        <w:p>
          <w:pPr>
            <w:pStyle w:val="14"/>
            <w:tabs>
              <w:tab w:val="right" w:leader="dot" w:pos="9072"/>
            </w:tabs>
          </w:pPr>
          <w:r>
            <w:fldChar w:fldCharType="begin"/>
          </w:r>
          <w:r>
            <w:instrText xml:space="preserve"> HYPERLINK \l _Toc29481 </w:instrText>
          </w:r>
          <w:r>
            <w:fldChar w:fldCharType="separate"/>
          </w:r>
          <w:r>
            <w:rPr>
              <w:rFonts w:hint="eastAsia"/>
              <w:lang w:val="en-US" w:eastAsia="zh-CN"/>
            </w:rPr>
            <w:t>2.4.2. 系统架构</w:t>
          </w:r>
          <w:r>
            <w:tab/>
          </w:r>
          <w:r>
            <w:fldChar w:fldCharType="begin"/>
          </w:r>
          <w:r>
            <w:instrText xml:space="preserve"> PAGEREF _Toc29481 \h </w:instrText>
          </w:r>
          <w:r>
            <w:fldChar w:fldCharType="separate"/>
          </w:r>
          <w:r>
            <w:t>- 14 -</w:t>
          </w:r>
          <w:r>
            <w:fldChar w:fldCharType="end"/>
          </w:r>
          <w:r>
            <w:fldChar w:fldCharType="end"/>
          </w:r>
        </w:p>
        <w:p>
          <w:pPr>
            <w:pStyle w:val="17"/>
            <w:tabs>
              <w:tab w:val="right" w:leader="dot" w:pos="9072"/>
            </w:tabs>
          </w:pPr>
          <w:r>
            <w:fldChar w:fldCharType="begin"/>
          </w:r>
          <w:r>
            <w:instrText xml:space="preserve"> HYPERLINK \l _Toc22022 </w:instrText>
          </w:r>
          <w:r>
            <w:fldChar w:fldCharType="separate"/>
          </w:r>
          <w:r>
            <w:rPr>
              <w:rFonts w:hint="eastAsia"/>
              <w:szCs w:val="44"/>
              <w:lang w:val="en-US" w:eastAsia="zh-CN"/>
            </w:rPr>
            <w:t xml:space="preserve">第三章 </w:t>
          </w:r>
          <w:r>
            <w:rPr>
              <w:rFonts w:hint="eastAsia"/>
              <w:lang w:val="en-US" w:eastAsia="zh-CN"/>
            </w:rPr>
            <w:t>系统软硬件技术方案</w:t>
          </w:r>
          <w:r>
            <w:tab/>
          </w:r>
          <w:r>
            <w:fldChar w:fldCharType="begin"/>
          </w:r>
          <w:r>
            <w:instrText xml:space="preserve"> PAGEREF _Toc22022 \h </w:instrText>
          </w:r>
          <w:r>
            <w:fldChar w:fldCharType="separate"/>
          </w:r>
          <w:r>
            <w:t>- 20 -</w:t>
          </w:r>
          <w:r>
            <w:fldChar w:fldCharType="end"/>
          </w:r>
          <w:r>
            <w:fldChar w:fldCharType="end"/>
          </w:r>
        </w:p>
        <w:p>
          <w:pPr>
            <w:pStyle w:val="18"/>
            <w:tabs>
              <w:tab w:val="right" w:leader="dot" w:pos="9072"/>
            </w:tabs>
          </w:pPr>
          <w:r>
            <w:fldChar w:fldCharType="begin"/>
          </w:r>
          <w:r>
            <w:instrText xml:space="preserve"> HYPERLINK \l _Toc13666 </w:instrText>
          </w:r>
          <w:r>
            <w:fldChar w:fldCharType="separate"/>
          </w:r>
          <w:r>
            <w:rPr>
              <w:rFonts w:hint="eastAsia"/>
              <w:bCs w:val="0"/>
            </w:rPr>
            <w:t xml:space="preserve">3.1. </w:t>
          </w:r>
          <w:r>
            <w:rPr>
              <w:rFonts w:hint="eastAsia"/>
              <w:bCs w:val="0"/>
              <w:lang w:eastAsia="zh-CN"/>
            </w:rPr>
            <w:t>企业能耗监测系统</w:t>
          </w:r>
          <w:r>
            <w:rPr>
              <w:rFonts w:hint="eastAsia"/>
              <w:bCs w:val="0"/>
            </w:rPr>
            <w:t>系统</w:t>
          </w:r>
          <w:r>
            <w:tab/>
          </w:r>
          <w:r>
            <w:fldChar w:fldCharType="begin"/>
          </w:r>
          <w:r>
            <w:instrText xml:space="preserve"> PAGEREF _Toc13666 \h </w:instrText>
          </w:r>
          <w:r>
            <w:fldChar w:fldCharType="separate"/>
          </w:r>
          <w:r>
            <w:t>- 20 -</w:t>
          </w:r>
          <w:r>
            <w:fldChar w:fldCharType="end"/>
          </w:r>
          <w:r>
            <w:fldChar w:fldCharType="end"/>
          </w:r>
        </w:p>
        <w:p>
          <w:pPr>
            <w:pStyle w:val="14"/>
            <w:tabs>
              <w:tab w:val="right" w:leader="dot" w:pos="9072"/>
            </w:tabs>
          </w:pPr>
          <w:r>
            <w:fldChar w:fldCharType="begin"/>
          </w:r>
          <w:r>
            <w:instrText xml:space="preserve"> HYPERLINK \l _Toc3562 </w:instrText>
          </w:r>
          <w:r>
            <w:fldChar w:fldCharType="separate"/>
          </w:r>
          <w:r>
            <w:rPr>
              <w:rFonts w:hint="eastAsia"/>
              <w:lang w:val="en-US" w:eastAsia="zh-CN"/>
            </w:rPr>
            <w:t>3.1.1. 风险管理</w:t>
          </w:r>
          <w:r>
            <w:tab/>
          </w:r>
          <w:r>
            <w:fldChar w:fldCharType="begin"/>
          </w:r>
          <w:r>
            <w:instrText xml:space="preserve"> PAGEREF _Toc3562 \h </w:instrText>
          </w:r>
          <w:r>
            <w:fldChar w:fldCharType="separate"/>
          </w:r>
          <w:r>
            <w:t>- 20 -</w:t>
          </w:r>
          <w:r>
            <w:fldChar w:fldCharType="end"/>
          </w:r>
          <w:r>
            <w:fldChar w:fldCharType="end"/>
          </w:r>
        </w:p>
        <w:p>
          <w:pPr>
            <w:pStyle w:val="14"/>
            <w:tabs>
              <w:tab w:val="right" w:leader="dot" w:pos="9072"/>
            </w:tabs>
          </w:pPr>
          <w:r>
            <w:fldChar w:fldCharType="begin"/>
          </w:r>
          <w:r>
            <w:instrText xml:space="preserve"> HYPERLINK \l _Toc13609 </w:instrText>
          </w:r>
          <w:r>
            <w:fldChar w:fldCharType="separate"/>
          </w:r>
          <w:r>
            <w:rPr>
              <w:rFonts w:hint="eastAsia"/>
              <w:lang w:val="en-US" w:eastAsia="zh-CN"/>
            </w:rPr>
            <w:t>3.1.2. 购电预测模块</w:t>
          </w:r>
          <w:r>
            <w:tab/>
          </w:r>
          <w:r>
            <w:fldChar w:fldCharType="begin"/>
          </w:r>
          <w:r>
            <w:instrText xml:space="preserve"> PAGEREF _Toc13609 \h </w:instrText>
          </w:r>
          <w:r>
            <w:fldChar w:fldCharType="separate"/>
          </w:r>
          <w:r>
            <w:t>- 23 -</w:t>
          </w:r>
          <w:r>
            <w:fldChar w:fldCharType="end"/>
          </w:r>
          <w:r>
            <w:fldChar w:fldCharType="end"/>
          </w:r>
        </w:p>
        <w:p>
          <w:pPr>
            <w:pStyle w:val="14"/>
            <w:tabs>
              <w:tab w:val="right" w:leader="dot" w:pos="9072"/>
            </w:tabs>
          </w:pPr>
          <w:r>
            <w:fldChar w:fldCharType="begin"/>
          </w:r>
          <w:r>
            <w:instrText xml:space="preserve"> HYPERLINK \l _Toc11991 </w:instrText>
          </w:r>
          <w:r>
            <w:fldChar w:fldCharType="separate"/>
          </w:r>
          <w:r>
            <w:rPr>
              <w:rFonts w:hint="eastAsia"/>
              <w:lang w:val="en-US" w:eastAsia="zh-CN"/>
            </w:rPr>
            <w:t>3.1.3. 企业能耗管理模块</w:t>
          </w:r>
          <w:r>
            <w:tab/>
          </w:r>
          <w:r>
            <w:fldChar w:fldCharType="begin"/>
          </w:r>
          <w:r>
            <w:instrText xml:space="preserve"> PAGEREF _Toc11991 \h </w:instrText>
          </w:r>
          <w:r>
            <w:fldChar w:fldCharType="separate"/>
          </w:r>
          <w:r>
            <w:t>- 29 -</w:t>
          </w:r>
          <w:r>
            <w:fldChar w:fldCharType="end"/>
          </w:r>
          <w:r>
            <w:fldChar w:fldCharType="end"/>
          </w:r>
        </w:p>
        <w:p>
          <w:pPr>
            <w:pStyle w:val="14"/>
            <w:tabs>
              <w:tab w:val="right" w:leader="dot" w:pos="9072"/>
            </w:tabs>
          </w:pPr>
          <w:r>
            <w:fldChar w:fldCharType="begin"/>
          </w:r>
          <w:r>
            <w:instrText xml:space="preserve"> HYPERLINK \l _Toc11714 </w:instrText>
          </w:r>
          <w:r>
            <w:fldChar w:fldCharType="separate"/>
          </w:r>
          <w:r>
            <w:rPr>
              <w:rFonts w:hint="eastAsia"/>
              <w:lang w:val="en-US" w:eastAsia="zh-CN"/>
            </w:rPr>
            <w:t>3.1.4. 企业需求侧管理模块</w:t>
          </w:r>
          <w:r>
            <w:tab/>
          </w:r>
          <w:r>
            <w:fldChar w:fldCharType="begin"/>
          </w:r>
          <w:r>
            <w:instrText xml:space="preserve"> PAGEREF _Toc11714 \h </w:instrText>
          </w:r>
          <w:r>
            <w:fldChar w:fldCharType="separate"/>
          </w:r>
          <w:r>
            <w:t>- 41 -</w:t>
          </w:r>
          <w:r>
            <w:fldChar w:fldCharType="end"/>
          </w:r>
          <w:r>
            <w:fldChar w:fldCharType="end"/>
          </w:r>
        </w:p>
        <w:p>
          <w:pPr>
            <w:pStyle w:val="14"/>
            <w:tabs>
              <w:tab w:val="right" w:leader="dot" w:pos="9072"/>
            </w:tabs>
          </w:pPr>
          <w:r>
            <w:fldChar w:fldCharType="begin"/>
          </w:r>
          <w:r>
            <w:instrText xml:space="preserve"> HYPERLINK \l _Toc32398 </w:instrText>
          </w:r>
          <w:r>
            <w:fldChar w:fldCharType="separate"/>
          </w:r>
          <w:r>
            <w:rPr>
              <w:rFonts w:hint="eastAsia"/>
              <w:lang w:val="en-US" w:eastAsia="zh-CN"/>
            </w:rPr>
            <w:t>3.1.5. 企业智慧能源综合服务APP</w:t>
          </w:r>
          <w:r>
            <w:tab/>
          </w:r>
          <w:r>
            <w:fldChar w:fldCharType="begin"/>
          </w:r>
          <w:r>
            <w:instrText xml:space="preserve"> PAGEREF _Toc32398 \h </w:instrText>
          </w:r>
          <w:r>
            <w:fldChar w:fldCharType="separate"/>
          </w:r>
          <w:r>
            <w:t>- 43 -</w:t>
          </w:r>
          <w:r>
            <w:fldChar w:fldCharType="end"/>
          </w:r>
          <w:r>
            <w:fldChar w:fldCharType="end"/>
          </w:r>
        </w:p>
        <w:p>
          <w:pPr>
            <w:pStyle w:val="18"/>
            <w:tabs>
              <w:tab w:val="right" w:leader="dot" w:pos="9072"/>
            </w:tabs>
          </w:pPr>
          <w:r>
            <w:fldChar w:fldCharType="begin"/>
          </w:r>
          <w:r>
            <w:instrText xml:space="preserve"> HYPERLINK \l _Toc12078 </w:instrText>
          </w:r>
          <w:r>
            <w:fldChar w:fldCharType="separate"/>
          </w:r>
          <w:r>
            <w:rPr>
              <w:rFonts w:hint="eastAsia"/>
              <w:bCs w:val="0"/>
            </w:rPr>
            <w:t>3.2. 一体化装置硬件</w:t>
          </w:r>
          <w:r>
            <w:tab/>
          </w:r>
          <w:r>
            <w:fldChar w:fldCharType="begin"/>
          </w:r>
          <w:r>
            <w:instrText xml:space="preserve"> PAGEREF _Toc12078 \h </w:instrText>
          </w:r>
          <w:r>
            <w:fldChar w:fldCharType="separate"/>
          </w:r>
          <w:r>
            <w:t>- 50 -</w:t>
          </w:r>
          <w:r>
            <w:fldChar w:fldCharType="end"/>
          </w:r>
          <w:r>
            <w:fldChar w:fldCharType="end"/>
          </w:r>
        </w:p>
        <w:p>
          <w:pPr>
            <w:pStyle w:val="14"/>
            <w:tabs>
              <w:tab w:val="right" w:leader="dot" w:pos="9072"/>
            </w:tabs>
          </w:pPr>
          <w:r>
            <w:fldChar w:fldCharType="begin"/>
          </w:r>
          <w:r>
            <w:instrText xml:space="preserve"> HYPERLINK \l _Toc20791 </w:instrText>
          </w:r>
          <w:r>
            <w:fldChar w:fldCharType="separate"/>
          </w:r>
          <w:r>
            <w:rPr>
              <w:rFonts w:hint="eastAsia"/>
              <w:lang w:val="en-US" w:eastAsia="zh-CN"/>
            </w:rPr>
            <w:t>3.2.1. 企业用能数据采集方案</w:t>
          </w:r>
          <w:r>
            <w:tab/>
          </w:r>
          <w:r>
            <w:fldChar w:fldCharType="begin"/>
          </w:r>
          <w:r>
            <w:instrText xml:space="preserve"> PAGEREF _Toc20791 \h </w:instrText>
          </w:r>
          <w:r>
            <w:fldChar w:fldCharType="separate"/>
          </w:r>
          <w:r>
            <w:t>- 51 -</w:t>
          </w:r>
          <w:r>
            <w:fldChar w:fldCharType="end"/>
          </w:r>
          <w:r>
            <w:fldChar w:fldCharType="end"/>
          </w:r>
        </w:p>
        <w:p>
          <w:pPr>
            <w:pStyle w:val="14"/>
            <w:tabs>
              <w:tab w:val="right" w:leader="dot" w:pos="9072"/>
            </w:tabs>
          </w:pPr>
          <w:r>
            <w:fldChar w:fldCharType="begin"/>
          </w:r>
          <w:r>
            <w:instrText xml:space="preserve"> HYPERLINK \l _Toc14483 </w:instrText>
          </w:r>
          <w:r>
            <w:fldChar w:fldCharType="separate"/>
          </w:r>
          <w:r>
            <w:rPr>
              <w:rFonts w:hint="eastAsia"/>
              <w:lang w:val="en-US" w:eastAsia="zh-CN"/>
            </w:rPr>
            <w:t>3.2.2. 装置功能架构</w:t>
          </w:r>
          <w:r>
            <w:tab/>
          </w:r>
          <w:r>
            <w:fldChar w:fldCharType="begin"/>
          </w:r>
          <w:r>
            <w:instrText xml:space="preserve"> PAGEREF _Toc14483 \h </w:instrText>
          </w:r>
          <w:r>
            <w:fldChar w:fldCharType="separate"/>
          </w:r>
          <w:r>
            <w:t>- 53 -</w:t>
          </w:r>
          <w:r>
            <w:fldChar w:fldCharType="end"/>
          </w:r>
          <w:r>
            <w:fldChar w:fldCharType="end"/>
          </w:r>
        </w:p>
        <w:p>
          <w:pPr>
            <w:pStyle w:val="14"/>
            <w:tabs>
              <w:tab w:val="right" w:leader="dot" w:pos="9072"/>
            </w:tabs>
          </w:pPr>
          <w:r>
            <w:fldChar w:fldCharType="begin"/>
          </w:r>
          <w:r>
            <w:instrText xml:space="preserve"> HYPERLINK \l _Toc7820 </w:instrText>
          </w:r>
          <w:r>
            <w:fldChar w:fldCharType="separate"/>
          </w:r>
          <w:r>
            <w:rPr>
              <w:rFonts w:hint="eastAsia"/>
              <w:lang w:val="en-US" w:eastAsia="zh-CN"/>
            </w:rPr>
            <w:t>3.2.3. 装置数据采集</w:t>
          </w:r>
          <w:r>
            <w:tab/>
          </w:r>
          <w:r>
            <w:fldChar w:fldCharType="begin"/>
          </w:r>
          <w:r>
            <w:instrText xml:space="preserve"> PAGEREF _Toc7820 \h </w:instrText>
          </w:r>
          <w:r>
            <w:fldChar w:fldCharType="separate"/>
          </w:r>
          <w:r>
            <w:t>- 60 -</w:t>
          </w:r>
          <w:r>
            <w:fldChar w:fldCharType="end"/>
          </w:r>
          <w:r>
            <w:fldChar w:fldCharType="end"/>
          </w:r>
        </w:p>
        <w:p>
          <w:pPr>
            <w:pStyle w:val="14"/>
            <w:tabs>
              <w:tab w:val="right" w:leader="dot" w:pos="9072"/>
            </w:tabs>
          </w:pPr>
          <w:r>
            <w:fldChar w:fldCharType="begin"/>
          </w:r>
          <w:r>
            <w:instrText xml:space="preserve"> HYPERLINK \l _Toc19241 </w:instrText>
          </w:r>
          <w:r>
            <w:fldChar w:fldCharType="separate"/>
          </w:r>
          <w:r>
            <w:rPr>
              <w:rFonts w:hint="eastAsia"/>
              <w:lang w:val="en-US" w:eastAsia="zh-CN"/>
            </w:rPr>
            <w:t>3.2.4. 装置设备能效在线评价</w:t>
          </w:r>
          <w:r>
            <w:tab/>
          </w:r>
          <w:r>
            <w:fldChar w:fldCharType="begin"/>
          </w:r>
          <w:r>
            <w:instrText xml:space="preserve"> PAGEREF _Toc19241 \h </w:instrText>
          </w:r>
          <w:r>
            <w:fldChar w:fldCharType="separate"/>
          </w:r>
          <w:r>
            <w:t>- 66 -</w:t>
          </w:r>
          <w:r>
            <w:fldChar w:fldCharType="end"/>
          </w:r>
          <w:r>
            <w:fldChar w:fldCharType="end"/>
          </w:r>
        </w:p>
        <w:p>
          <w:pPr>
            <w:pStyle w:val="14"/>
            <w:tabs>
              <w:tab w:val="right" w:leader="dot" w:pos="9072"/>
            </w:tabs>
          </w:pPr>
          <w:r>
            <w:fldChar w:fldCharType="begin"/>
          </w:r>
          <w:r>
            <w:instrText xml:space="preserve"> HYPERLINK \l _Toc20901 </w:instrText>
          </w:r>
          <w:r>
            <w:fldChar w:fldCharType="separate"/>
          </w:r>
          <w:r>
            <w:rPr>
              <w:rFonts w:hint="eastAsia"/>
              <w:lang w:val="en-US" w:eastAsia="zh-CN"/>
            </w:rPr>
            <w:t>3.2.5. 一体化装置技术参数</w:t>
          </w:r>
          <w:r>
            <w:tab/>
          </w:r>
          <w:r>
            <w:fldChar w:fldCharType="begin"/>
          </w:r>
          <w:r>
            <w:instrText xml:space="preserve"> PAGEREF _Toc20901 \h </w:instrText>
          </w:r>
          <w:r>
            <w:fldChar w:fldCharType="separate"/>
          </w:r>
          <w:r>
            <w:t>- 66 -</w:t>
          </w:r>
          <w:r>
            <w:fldChar w:fldCharType="end"/>
          </w:r>
          <w:r>
            <w:fldChar w:fldCharType="end"/>
          </w:r>
        </w:p>
        <w:p>
          <w:pPr>
            <w:pStyle w:val="17"/>
            <w:tabs>
              <w:tab w:val="right" w:leader="dot" w:pos="9072"/>
            </w:tabs>
          </w:pPr>
          <w:r>
            <w:fldChar w:fldCharType="begin"/>
          </w:r>
          <w:r>
            <w:instrText xml:space="preserve"> HYPERLINK \l _Toc24933 </w:instrText>
          </w:r>
          <w:r>
            <w:fldChar w:fldCharType="separate"/>
          </w:r>
          <w:r>
            <w:rPr>
              <w:rFonts w:hint="eastAsia"/>
              <w:szCs w:val="44"/>
              <w:lang w:val="en-US" w:eastAsia="zh-CN"/>
            </w:rPr>
            <w:t xml:space="preserve">第四章 </w:t>
          </w:r>
          <w:r>
            <w:rPr>
              <w:rFonts w:hint="eastAsia"/>
              <w:lang w:val="en-US" w:eastAsia="zh-CN"/>
            </w:rPr>
            <w:t>合作项目简介</w:t>
          </w:r>
          <w:r>
            <w:tab/>
          </w:r>
          <w:r>
            <w:fldChar w:fldCharType="begin"/>
          </w:r>
          <w:r>
            <w:instrText xml:space="preserve"> PAGEREF _Toc24933 \h </w:instrText>
          </w:r>
          <w:r>
            <w:fldChar w:fldCharType="separate"/>
          </w:r>
          <w:r>
            <w:t>- 69 -</w:t>
          </w:r>
          <w:r>
            <w:fldChar w:fldCharType="end"/>
          </w:r>
          <w:r>
            <w:fldChar w:fldCharType="end"/>
          </w:r>
        </w:p>
        <w:p>
          <w:pPr>
            <w:pStyle w:val="18"/>
            <w:tabs>
              <w:tab w:val="right" w:leader="dot" w:pos="9072"/>
            </w:tabs>
          </w:pPr>
          <w:r>
            <w:fldChar w:fldCharType="begin"/>
          </w:r>
          <w:r>
            <w:instrText xml:space="preserve"> HYPERLINK \l _Toc12283 </w:instrText>
          </w:r>
          <w:r>
            <w:fldChar w:fldCharType="separate"/>
          </w:r>
          <w:r>
            <w:rPr>
              <w:rFonts w:hint="eastAsia"/>
              <w:bCs w:val="0"/>
            </w:rPr>
            <w:t xml:space="preserve">4.1. </w:t>
          </w:r>
          <w:r>
            <w:rPr>
              <w:rFonts w:hint="eastAsia"/>
              <w:bCs w:val="0"/>
              <w:lang w:val="en-US" w:eastAsia="zh-CN"/>
            </w:rPr>
            <w:t>宏陶陶瓷</w:t>
          </w:r>
          <w:r>
            <w:tab/>
          </w:r>
          <w:r>
            <w:fldChar w:fldCharType="begin"/>
          </w:r>
          <w:r>
            <w:instrText xml:space="preserve"> PAGEREF _Toc12283 \h </w:instrText>
          </w:r>
          <w:r>
            <w:fldChar w:fldCharType="separate"/>
          </w:r>
          <w:r>
            <w:t>- 69 -</w:t>
          </w:r>
          <w:r>
            <w:fldChar w:fldCharType="end"/>
          </w:r>
          <w:r>
            <w:fldChar w:fldCharType="end"/>
          </w:r>
        </w:p>
        <w:p>
          <w:pPr>
            <w:pStyle w:val="14"/>
            <w:tabs>
              <w:tab w:val="right" w:leader="dot" w:pos="9072"/>
            </w:tabs>
          </w:pPr>
          <w:r>
            <w:fldChar w:fldCharType="begin"/>
          </w:r>
          <w:r>
            <w:instrText xml:space="preserve"> HYPERLINK \l _Toc21606 </w:instrText>
          </w:r>
          <w:r>
            <w:fldChar w:fldCharType="separate"/>
          </w:r>
          <w:r>
            <w:rPr>
              <w:rFonts w:hint="eastAsia"/>
              <w:lang w:val="en-US" w:eastAsia="zh-CN"/>
            </w:rPr>
            <w:t>4.1.1. 现状分析</w:t>
          </w:r>
          <w:r>
            <w:tab/>
          </w:r>
          <w:r>
            <w:fldChar w:fldCharType="begin"/>
          </w:r>
          <w:r>
            <w:instrText xml:space="preserve"> PAGEREF _Toc21606 \h </w:instrText>
          </w:r>
          <w:r>
            <w:fldChar w:fldCharType="separate"/>
          </w:r>
          <w:r>
            <w:t>- 71 -</w:t>
          </w:r>
          <w:r>
            <w:fldChar w:fldCharType="end"/>
          </w:r>
          <w:r>
            <w:fldChar w:fldCharType="end"/>
          </w:r>
        </w:p>
        <w:p>
          <w:pPr>
            <w:pStyle w:val="14"/>
            <w:tabs>
              <w:tab w:val="right" w:leader="dot" w:pos="9072"/>
            </w:tabs>
          </w:pPr>
          <w:r>
            <w:fldChar w:fldCharType="begin"/>
          </w:r>
          <w:r>
            <w:instrText xml:space="preserve"> HYPERLINK \l _Toc22930 </w:instrText>
          </w:r>
          <w:r>
            <w:fldChar w:fldCharType="separate"/>
          </w:r>
          <w:r>
            <w:rPr>
              <w:rFonts w:hint="eastAsia"/>
              <w:lang w:val="en-US" w:eastAsia="zh-CN"/>
            </w:rPr>
            <w:t>4.1.2. 需求分析</w:t>
          </w:r>
          <w:r>
            <w:tab/>
          </w:r>
          <w:r>
            <w:fldChar w:fldCharType="begin"/>
          </w:r>
          <w:r>
            <w:instrText xml:space="preserve"> PAGEREF _Toc22930 \h </w:instrText>
          </w:r>
          <w:r>
            <w:fldChar w:fldCharType="separate"/>
          </w:r>
          <w:r>
            <w:t>- 71 -</w:t>
          </w:r>
          <w:r>
            <w:fldChar w:fldCharType="end"/>
          </w:r>
          <w:r>
            <w:fldChar w:fldCharType="end"/>
          </w:r>
        </w:p>
        <w:p>
          <w:pPr>
            <w:pStyle w:val="14"/>
            <w:tabs>
              <w:tab w:val="right" w:leader="dot" w:pos="9072"/>
            </w:tabs>
          </w:pPr>
          <w:r>
            <w:fldChar w:fldCharType="begin"/>
          </w:r>
          <w:r>
            <w:instrText xml:space="preserve"> HYPERLINK \l _Toc18938 </w:instrText>
          </w:r>
          <w:r>
            <w:fldChar w:fldCharType="separate"/>
          </w:r>
          <w:r>
            <w:rPr>
              <w:rFonts w:hint="eastAsia"/>
              <w:lang w:val="en-US" w:eastAsia="zh-CN"/>
            </w:rPr>
            <w:t>4.1.3. 改造方案</w:t>
          </w:r>
          <w:r>
            <w:tab/>
          </w:r>
          <w:r>
            <w:fldChar w:fldCharType="begin"/>
          </w:r>
          <w:r>
            <w:instrText xml:space="preserve"> PAGEREF _Toc18938 \h </w:instrText>
          </w:r>
          <w:r>
            <w:fldChar w:fldCharType="separate"/>
          </w:r>
          <w:r>
            <w:t>- 72 -</w:t>
          </w:r>
          <w:r>
            <w:fldChar w:fldCharType="end"/>
          </w:r>
          <w:r>
            <w:fldChar w:fldCharType="end"/>
          </w:r>
        </w:p>
        <w:p>
          <w:pPr>
            <w:pStyle w:val="18"/>
            <w:tabs>
              <w:tab w:val="right" w:leader="dot" w:pos="9072"/>
            </w:tabs>
          </w:pPr>
          <w:r>
            <w:fldChar w:fldCharType="begin"/>
          </w:r>
          <w:r>
            <w:instrText xml:space="preserve"> HYPERLINK \l _Toc13166 </w:instrText>
          </w:r>
          <w:r>
            <w:fldChar w:fldCharType="separate"/>
          </w:r>
          <w:r>
            <w:rPr>
              <w:rFonts w:hint="eastAsia"/>
              <w:bCs w:val="0"/>
            </w:rPr>
            <w:t xml:space="preserve">4.2. </w:t>
          </w:r>
          <w:r>
            <w:rPr>
              <w:rFonts w:hint="eastAsia"/>
              <w:bCs w:val="0"/>
              <w:lang w:val="en-US" w:eastAsia="zh-CN"/>
            </w:rPr>
            <w:t>范各庄煤矿</w:t>
          </w:r>
          <w:r>
            <w:tab/>
          </w:r>
          <w:r>
            <w:fldChar w:fldCharType="begin"/>
          </w:r>
          <w:r>
            <w:instrText xml:space="preserve"> PAGEREF _Toc13166 \h </w:instrText>
          </w:r>
          <w:r>
            <w:fldChar w:fldCharType="separate"/>
          </w:r>
          <w:r>
            <w:t>- 73 -</w:t>
          </w:r>
          <w:r>
            <w:fldChar w:fldCharType="end"/>
          </w:r>
          <w:r>
            <w:fldChar w:fldCharType="end"/>
          </w:r>
        </w:p>
        <w:p>
          <w:pPr>
            <w:pStyle w:val="14"/>
            <w:tabs>
              <w:tab w:val="right" w:leader="dot" w:pos="9072"/>
            </w:tabs>
          </w:pPr>
          <w:r>
            <w:fldChar w:fldCharType="begin"/>
          </w:r>
          <w:r>
            <w:instrText xml:space="preserve"> HYPERLINK \l _Toc22460 </w:instrText>
          </w:r>
          <w:r>
            <w:fldChar w:fldCharType="separate"/>
          </w:r>
          <w:r>
            <w:rPr>
              <w:rFonts w:hint="eastAsia"/>
              <w:lang w:val="en-US" w:eastAsia="zh-CN"/>
            </w:rPr>
            <w:t>4.2.1. 现状分析</w:t>
          </w:r>
          <w:r>
            <w:tab/>
          </w:r>
          <w:r>
            <w:fldChar w:fldCharType="begin"/>
          </w:r>
          <w:r>
            <w:instrText xml:space="preserve"> PAGEREF _Toc22460 \h </w:instrText>
          </w:r>
          <w:r>
            <w:fldChar w:fldCharType="separate"/>
          </w:r>
          <w:r>
            <w:t>- 74 -</w:t>
          </w:r>
          <w:r>
            <w:fldChar w:fldCharType="end"/>
          </w:r>
          <w:r>
            <w:fldChar w:fldCharType="end"/>
          </w:r>
        </w:p>
        <w:p>
          <w:pPr>
            <w:pStyle w:val="14"/>
            <w:tabs>
              <w:tab w:val="right" w:leader="dot" w:pos="9072"/>
            </w:tabs>
          </w:pPr>
          <w:r>
            <w:fldChar w:fldCharType="begin"/>
          </w:r>
          <w:r>
            <w:instrText xml:space="preserve"> HYPERLINK \l _Toc22210 </w:instrText>
          </w:r>
          <w:r>
            <w:fldChar w:fldCharType="separate"/>
          </w:r>
          <w:r>
            <w:rPr>
              <w:rFonts w:hint="eastAsia"/>
              <w:lang w:val="en-US" w:eastAsia="zh-CN"/>
            </w:rPr>
            <w:t>4.2.2. 需求分析</w:t>
          </w:r>
          <w:r>
            <w:tab/>
          </w:r>
          <w:r>
            <w:fldChar w:fldCharType="begin"/>
          </w:r>
          <w:r>
            <w:instrText xml:space="preserve"> PAGEREF _Toc22210 \h </w:instrText>
          </w:r>
          <w:r>
            <w:fldChar w:fldCharType="separate"/>
          </w:r>
          <w:r>
            <w:t>- 74 -</w:t>
          </w:r>
          <w:r>
            <w:fldChar w:fldCharType="end"/>
          </w:r>
          <w:r>
            <w:fldChar w:fldCharType="end"/>
          </w:r>
        </w:p>
        <w:p>
          <w:pPr>
            <w:pStyle w:val="14"/>
            <w:tabs>
              <w:tab w:val="right" w:leader="dot" w:pos="9072"/>
            </w:tabs>
          </w:pPr>
          <w:r>
            <w:fldChar w:fldCharType="begin"/>
          </w:r>
          <w:r>
            <w:instrText xml:space="preserve"> HYPERLINK \l _Toc11279 </w:instrText>
          </w:r>
          <w:r>
            <w:fldChar w:fldCharType="separate"/>
          </w:r>
          <w:r>
            <w:rPr>
              <w:rFonts w:hint="eastAsia"/>
              <w:lang w:val="en-US" w:eastAsia="zh-CN"/>
            </w:rPr>
            <w:t>4.2.3. 改造方案</w:t>
          </w:r>
          <w:r>
            <w:tab/>
          </w:r>
          <w:r>
            <w:fldChar w:fldCharType="begin"/>
          </w:r>
          <w:r>
            <w:instrText xml:space="preserve"> PAGEREF _Toc11279 \h </w:instrText>
          </w:r>
          <w:r>
            <w:fldChar w:fldCharType="separate"/>
          </w:r>
          <w:r>
            <w:t>- 74 -</w:t>
          </w:r>
          <w:r>
            <w:fldChar w:fldCharType="end"/>
          </w:r>
          <w:r>
            <w:fldChar w:fldCharType="end"/>
          </w:r>
        </w:p>
        <w:p>
          <w:pPr>
            <w:bidi w:val="0"/>
            <w:rPr>
              <w:rFonts w:hint="eastAsia" w:ascii="思源黑体 CN Normal" w:hAnsi="思源黑体 CN Normal" w:eastAsia="思源黑体 CN Normal" w:cs="思源黑体 CN Normal"/>
              <w:sz w:val="32"/>
              <w:szCs w:val="32"/>
            </w:rPr>
          </w:pPr>
          <w:r>
            <w:fldChar w:fldCharType="end"/>
          </w:r>
        </w:p>
      </w:sdtContent>
    </w:sdt>
    <w:p>
      <w:pPr>
        <w:bidi w:val="0"/>
        <w:rPr>
          <w:rFonts w:hint="eastAsia" w:ascii="思源黑体 CN Normal" w:hAnsi="思源黑体 CN Normal" w:eastAsia="思源黑体 CN Normal" w:cs="思源黑体 CN Normal"/>
          <w:sz w:val="32"/>
          <w:szCs w:val="32"/>
        </w:rPr>
      </w:pPr>
    </w:p>
    <w:p>
      <w:pPr>
        <w:bidi w:val="0"/>
        <w:rPr>
          <w:rFonts w:hint="eastAsia" w:ascii="思源黑体 CN Normal" w:hAnsi="思源黑体 CN Normal" w:eastAsia="思源黑体 CN Normal" w:cs="思源黑体 CN Normal"/>
          <w:b/>
          <w:bCs/>
          <w:caps/>
          <w:kern w:val="2"/>
          <w:sz w:val="20"/>
          <w:szCs w:val="32"/>
          <w:lang w:val="en-US" w:eastAsia="zh-CN" w:bidi="ar-SA"/>
        </w:rPr>
      </w:pPr>
      <w:r>
        <w:rPr>
          <w:rFonts w:hint="eastAsia" w:ascii="思源黑体 CN Normal" w:hAnsi="思源黑体 CN Normal" w:eastAsia="思源黑体 CN Normal" w:cs="思源黑体 CN Normal"/>
          <w:sz w:val="32"/>
          <w:szCs w:val="32"/>
        </w:rPr>
        <w:fldChar w:fldCharType="begin"/>
      </w:r>
      <w:r>
        <w:rPr>
          <w:rFonts w:hint="eastAsia" w:ascii="思源黑体 CN Normal" w:hAnsi="思源黑体 CN Normal" w:eastAsia="思源黑体 CN Normal" w:cs="思源黑体 CN Normal"/>
          <w:sz w:val="32"/>
          <w:szCs w:val="32"/>
        </w:rPr>
        <w:instrText xml:space="preserve">TOC \o "1-3" \h \u </w:instrText>
      </w:r>
      <w:r>
        <w:rPr>
          <w:rFonts w:hint="eastAsia" w:ascii="思源黑体 CN Normal" w:hAnsi="思源黑体 CN Normal" w:eastAsia="思源黑体 CN Normal" w:cs="思源黑体 CN Normal"/>
          <w:sz w:val="32"/>
          <w:szCs w:val="32"/>
        </w:rPr>
        <w:fldChar w:fldCharType="separate"/>
      </w:r>
    </w:p>
    <w:p>
      <w:pPr>
        <w:pStyle w:val="17"/>
        <w:pageBreakBefore w:val="0"/>
        <w:tabs>
          <w:tab w:val="right" w:leader="hyphen" w:pos="8306"/>
        </w:tabs>
        <w:kinsoku/>
        <w:overflowPunct/>
        <w:topLinePunct w:val="0"/>
        <w:bidi w:val="0"/>
        <w:snapToGrid w:val="0"/>
        <w:spacing w:before="0" w:beforeLines="0" w:beforeAutospacing="0" w:after="0" w:afterLines="0" w:afterAutospacing="0" w:line="360" w:lineRule="auto"/>
        <w:rPr>
          <w:rFonts w:hint="eastAsia"/>
          <w:lang w:val="en-US" w:eastAsia="zh-CN"/>
        </w:rPr>
      </w:pPr>
      <w:r>
        <w:rPr>
          <w:rFonts w:hint="eastAsia" w:ascii="思源黑体 CN Normal" w:hAnsi="思源黑体 CN Normal" w:eastAsia="思源黑体 CN Normal" w:cs="思源黑体 CN Normal"/>
          <w:szCs w:val="32"/>
        </w:rPr>
        <w:fldChar w:fldCharType="end"/>
      </w:r>
      <w:bookmarkEnd w:id="0"/>
      <w:bookmarkStart w:id="1" w:name="_Toc8510"/>
      <w:r>
        <w:rPr>
          <w:rFonts w:hint="eastAsia"/>
          <w:lang w:val="en-US" w:eastAsia="zh-CN"/>
        </w:rPr>
        <w:t>公司简介</w:t>
      </w:r>
      <w:bookmarkEnd w:id="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Xxxx是一家专注综合能源管理数字化、系统化、平台化和智慧化的高新技术企业，在“双碳”背景下，公司以AIoT智能物联网技术为核心，融合边缘计算、云计算及大数据技术，通过对能源领域智慧化的深入研究和应用，以降低碳排放为目标，自主研发了智慧能源计费系统、企业能耗监测系统、建筑能耗监测系统、高校能耗监测系统、智能配用电运维及用电安全监测系统、直饮水管理系统、智慧水务系统，致力于为高校、公共机关、医院、星级酒店、商业综合体、企业、园区、水务等行业客户建立可靠的、可扩展的、低成本的数字综合能源监管云平台，构建园区级“源网荷储”一体化能源互联网，以智慧综合能源管理驱动零碳园区发展。</w:t>
      </w:r>
    </w:p>
    <w:p>
      <w:r>
        <w:rPr>
          <w:rFonts w:hint="eastAsia" w:ascii="微软雅黑" w:hAnsi="微软雅黑" w:eastAsia="微软雅黑" w:cs="微软雅黑"/>
          <w:b/>
          <w:bCs/>
          <w:color w:val="000000"/>
          <w:kern w:val="0"/>
          <w:sz w:val="28"/>
          <w:szCs w:val="28"/>
          <w:shd w:val="clear" w:color="auto" w:fill="FFFFFF"/>
          <w:lang w:val="en-US" w:eastAsia="zh-CN" w:bidi="ar"/>
        </w:rPr>
        <w:t>公司名——口号</w:t>
      </w:r>
      <w:bookmarkStart w:id="2" w:name="_Toc14349"/>
    </w:p>
    <w:p>
      <w:pPr>
        <w:pStyle w:val="3"/>
        <w:pageBreakBefore w:val="0"/>
        <w:kinsoku/>
        <w:overflowPunct/>
        <w:topLinePunct w:val="0"/>
        <w:bidi w:val="0"/>
        <w:spacing w:line="360" w:lineRule="auto"/>
        <w:ind w:left="575" w:leftChars="0" w:hanging="575" w:firstLineChars="0"/>
        <w:rPr>
          <w:rFonts w:hint="eastAsia"/>
          <w:b/>
          <w:bCs w:val="0"/>
        </w:rPr>
      </w:pPr>
      <w:bookmarkStart w:id="3" w:name="_Toc23185"/>
      <w:r>
        <w:rPr>
          <w:rFonts w:hint="eastAsia"/>
          <w:b/>
          <w:bCs w:val="0"/>
        </w:rPr>
        <w:t>建设目标</w:t>
      </w:r>
      <w:bookmarkEnd w:id="2"/>
      <w:bookmarkEnd w:id="3"/>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平台完成对重点耗能企业的用能情况进行及时、快速和准确的监测，采用一定的数据采集手段，对企业重点工艺流程进行数据自动采集，然后对采集到的数据信息进行统计、分析并根据需要绘制各种趋势曲线、能源流向图和分析报表，并做出科学的分析和售电预测，提供预警功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终实现：以企业生产流程中实时用电和用能监测信息为基础，以实现企业月度竞价决策分析、企业内部用电用能多元数据综合分析、企业生产流程用电用能优化等功能为目标，研制企业能耗监测系统一体化装置，开发混合决策系统，设计并实现企业综合用能服务总体架构及业务流程，并实现示范项目的集成部署及应用。</w:t>
      </w:r>
    </w:p>
    <w:p>
      <w:pPr>
        <w:pStyle w:val="3"/>
        <w:pageBreakBefore w:val="0"/>
        <w:kinsoku/>
        <w:overflowPunct/>
        <w:topLinePunct w:val="0"/>
        <w:bidi w:val="0"/>
        <w:spacing w:line="360" w:lineRule="auto"/>
        <w:ind w:left="575" w:leftChars="0" w:hanging="575" w:firstLineChars="0"/>
        <w:rPr>
          <w:rFonts w:hint="eastAsia"/>
          <w:b/>
          <w:bCs w:val="0"/>
        </w:rPr>
      </w:pPr>
      <w:bookmarkStart w:id="4" w:name="_Toc7542"/>
      <w:bookmarkStart w:id="5" w:name="_Toc1493"/>
      <w:bookmarkStart w:id="6" w:name="_Toc9008"/>
      <w:r>
        <w:rPr>
          <w:rFonts w:hint="eastAsia"/>
          <w:b/>
          <w:bCs w:val="0"/>
        </w:rPr>
        <w:t>项目背景</w:t>
      </w:r>
      <w:bookmarkEnd w:id="4"/>
      <w:bookmarkEnd w:id="5"/>
      <w:bookmarkEnd w:id="6"/>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共中央国务院关于进一步深化电力体制改革的若干意见》（中发〔2015〕9号文）及配套文件已陆续印发。本次电力体制改革按照管住中间、放开两头的体制架构，放开输配以外竞争性环节电价，有序向社会资本放开配售电业务，有序放开公益性和调节性以外发用电计划。本次改革的重点任务包括：电价改革、电力市场建设、售电侧放开、新能源发展、政府职能转变等方面。售电侧放开是本次电力体制改革的最大亮点，鼓励以混合所有制方式发展配电业务，构建多个售电主体，放开用户选择权。这种“多买方-多卖方”的市场格局，对于电力企业而言，面临着能源市场特性和行业运营环境的深刻变化。这种新形势下，电力企业改革发展挑战与机遇并存。</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力企业面临的挑战，首先将面对全新的供用电体系。电力企业面对的不再是传统的“发—输—配—用”单向的B2C电力供给体系，C2C双向电力供给体系正在形成，包含“用—配—用”、“用—用”等多种模式，能量交换途径更加多样化。</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力企业还将面对多元化竞争主体，包括市场化的售电公司、配售一体化公司，也包括微网运营商、分布式发电商以及储能设备运营商等都将成为新兴的竞争主体。竞争对象则是企业级的电力企业，竞争的业务领域除了电力供应，还将包括综合化能源管理、需求定制服务，以及面向售电市场的报价辅助服务等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目前全国范围内注册的售电公司已经超过2000家，其中“两类电商”进入配售电领域，将对电力企业市场份额和利润空间产生较大冲击。</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时，用户侧多类型智慧能源的推广应用，包括新能源、冷热电联供、储能等方面，将改变企业用户对电力消耗的单一依赖性，根本上改革能源利用方式，电力营销将向分散供应和网络共享方式转变，电力公司的传统电力营销业务应考虑综合能源服务。</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综合能源服务以电力供应为基础，围绕企业级企业用能及在售电市场中价值诉求，面向多种能源种类，采取多种服务手段，拓展原有的需求侧管理技术，提供多种需求侧服务品种、传递多元用户价值。综合能源服务包括三个方面：</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一方面针对企业内部综合能源管理，采集监控企业内部用电用能实时信息，提供用电用能优化策略；</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第二方面，考虑电力需求侧响应、电力市场机制，其他相关能源市场机制提出多元化的企业用户综合需求侧管理；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第三方面，分析售电市场竞争环境和趋势，提供企业面向电力市场的竞价决策。</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未来电力企业与售电公司比拼的不仅仅是售电，更应该比拼全方位、综合性的能源服务。大数据、云计算、物联网等新兴技术的迅速发展，为电力增值业务提供了高效可行的支撑技术。</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随着售电市场开放力度逐渐加大，市场机制逐渐培育成熟，电力企业在年度长协以及竞价交易中面临的各种风险也逐步显现，并越来越受到重视。其中包括年度长协价格风险，月度竞价风险，偏差电量考核风险等。面对激烈竞争的市场环境，加强自身监控系统建设，精细化成本分析，综合管控用电用能流程，是电力企业在提高用电效率、降低用电成本的技术基础。</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充分分析市场趋势，优化竞价策略，合理制定需求响应机制，是电力企业面对市场竞争应该具备的决策能力。</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将通过分析电力市场规则与售电竞争实际情况，基于企业实时用电和用能监测信息，面向竞价决策和电量偏差考核指标，提出生产流程用电和用能综合优化策略。通过建设企业内部用电用能多元数据综合分析体系，精细化多维度用电特性曲线模型，提出面向售电市场的最优需求响应方案与定价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通过研究面向售电市场的企业数据采集需求，提出低成本的便捷式用电数据采集装置方案；研究企业内部用电用能多元数据综合服务系统的架构，提出面向售电市场的企业智慧能源综合服务系统建设方案。</w:t>
      </w:r>
    </w:p>
    <w:p>
      <w:pPr>
        <w:pStyle w:val="3"/>
        <w:pageBreakBefore w:val="0"/>
        <w:kinsoku/>
        <w:overflowPunct/>
        <w:topLinePunct w:val="0"/>
        <w:bidi w:val="0"/>
        <w:spacing w:line="360" w:lineRule="auto"/>
        <w:ind w:left="575" w:leftChars="0" w:hanging="575" w:firstLineChars="0"/>
        <w:rPr>
          <w:rFonts w:hint="eastAsia"/>
          <w:b/>
          <w:bCs w:val="0"/>
        </w:rPr>
      </w:pPr>
      <w:bookmarkStart w:id="7" w:name="_Toc22579"/>
      <w:bookmarkStart w:id="8" w:name="_Toc1713"/>
      <w:bookmarkStart w:id="9" w:name="_Toc20653"/>
      <w:r>
        <w:rPr>
          <w:rFonts w:hint="eastAsia"/>
          <w:b/>
          <w:bCs w:val="0"/>
        </w:rPr>
        <w:t>项目需求</w:t>
      </w:r>
      <w:bookmarkEnd w:id="7"/>
      <w:bookmarkEnd w:id="8"/>
      <w:bookmarkEnd w:id="9"/>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开</w:t>
      </w:r>
      <w:r>
        <w:rPr>
          <w:rFonts w:hint="eastAsia" w:asciiTheme="minorEastAsia" w:hAnsiTheme="minorEastAsia" w:eastAsiaTheme="minorEastAsia" w:cstheme="minorEastAsia"/>
          <w:sz w:val="24"/>
          <w:szCs w:val="24"/>
          <w:lang w:val="en-US" w:eastAsia="zh-CN"/>
        </w:rPr>
        <w:t>发企业能耗监测系统系统平台，实现企业广义能流优化、企业月度竞价决策分析等功能。</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过系统平台，对企业水、电、天然气等能源实现自动抄表、精确计量和分析，挖掘节能点，降低能源费用支出。</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过系统平台通过实际需量分析，帮助企业分析报装方式，优化降低需量缴费，节约用电成本。</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构</w:t>
      </w:r>
      <w:r>
        <w:rPr>
          <w:rFonts w:hint="eastAsia" w:asciiTheme="minorEastAsia" w:hAnsiTheme="minorEastAsia" w:eastAsiaTheme="minorEastAsia" w:cstheme="minorEastAsia"/>
          <w:sz w:val="24"/>
          <w:szCs w:val="24"/>
          <w:lang w:val="en-US" w:eastAsia="zh-CN"/>
        </w:rPr>
        <w:t>建企业能源大数据中心，能管中心是管理节能的大数据中心，通过采集生产或服务系统的能源使用数据、通过能源管理五大维度的迭代分析、能效指标的对标分析、节能量分析、能耗关键点分析、能源成本分析、能源计划管理、能源调度管理、能源决策管理、支撑着能源管理体系的正常运行和可持续改进。</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过系统平台对企业用能分析，找出不合理用能或改变用能不良习惯，减少不必要浪费。</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过系统平台对企业用电进行峰谷分析，指导企业移峰填谷，节约电费。</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过系统平台实现用电过压、欠压、过流、谐波超限、电压偏差超限、频率偏差超限、不平衡度超限，异常能耗等安全用能监测。</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通过</w:t>
      </w:r>
      <w:r>
        <w:rPr>
          <w:rFonts w:hint="eastAsia" w:asciiTheme="minorEastAsia" w:hAnsiTheme="minorEastAsia" w:eastAsiaTheme="minorEastAsia" w:cstheme="minorEastAsia"/>
          <w:sz w:val="24"/>
          <w:szCs w:val="24"/>
          <w:lang w:val="en-US" w:eastAsia="zh-CN"/>
        </w:rPr>
        <w:t>系统平台，对企业电能质量分析，明确能源浪费点，减少不必要的能耗，同时指导企业有针对性的进行电能质量治理。</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过系统平台，可帮助企业实现重点用能设备的利用率及效率分析，同时实现设备故障预警功能。</w:t>
      </w:r>
    </w:p>
    <w:p>
      <w:pPr>
        <w:pageBreakBefore w:val="0"/>
        <w:widowControl/>
        <w:numPr>
          <w:ilvl w:val="0"/>
          <w:numId w:val="2"/>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left="0" w:firstLine="424" w:firstLineChars="17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sz w:val="24"/>
          <w:szCs w:val="24"/>
          <w:lang w:val="en-US" w:eastAsia="zh-CN"/>
        </w:rPr>
        <w:t>过系统平台，实现与企业能耗监测系统。</w:t>
      </w:r>
    </w:p>
    <w:p>
      <w:pPr>
        <w:pStyle w:val="3"/>
        <w:pageBreakBefore w:val="0"/>
        <w:kinsoku/>
        <w:overflowPunct/>
        <w:topLinePunct w:val="0"/>
        <w:bidi w:val="0"/>
        <w:spacing w:line="360" w:lineRule="auto"/>
        <w:ind w:left="575" w:leftChars="0" w:hanging="575" w:firstLineChars="0"/>
        <w:rPr>
          <w:rFonts w:hint="eastAsia"/>
          <w:b/>
          <w:bCs w:val="0"/>
        </w:rPr>
      </w:pPr>
      <w:bookmarkStart w:id="10" w:name="_Toc30114"/>
      <w:bookmarkStart w:id="11" w:name="_Toc32599"/>
      <w:bookmarkStart w:id="12" w:name="_Toc2920"/>
      <w:r>
        <w:rPr>
          <w:rFonts w:hint="eastAsia"/>
          <w:b/>
          <w:bCs w:val="0"/>
        </w:rPr>
        <w:t>建设必要性</w:t>
      </w:r>
      <w:bookmarkEnd w:id="10"/>
      <w:bookmarkEnd w:id="11"/>
      <w:bookmarkEnd w:id="12"/>
    </w:p>
    <w:p>
      <w:pPr>
        <w:pStyle w:val="4"/>
        <w:pageBreakBefore w:val="0"/>
        <w:kinsoku/>
        <w:overflowPunct/>
        <w:topLinePunct w:val="0"/>
        <w:bidi w:val="0"/>
        <w:spacing w:line="360" w:lineRule="auto"/>
        <w:ind w:left="720" w:leftChars="0" w:hanging="720" w:firstLineChars="0"/>
        <w:rPr>
          <w:rFonts w:hint="eastAsia"/>
          <w:lang w:val="en-US" w:eastAsia="zh-CN"/>
        </w:rPr>
      </w:pPr>
      <w:bookmarkStart w:id="13" w:name="_Toc8708"/>
      <w:bookmarkStart w:id="14" w:name="_Toc23078"/>
      <w:bookmarkStart w:id="15" w:name="_Toc16414"/>
      <w:r>
        <w:rPr>
          <w:rFonts w:hint="eastAsia"/>
          <w:lang w:val="en-US" w:eastAsia="zh-CN"/>
        </w:rPr>
        <w:t>工业能源管理与节能工作监督、监察和管理的需要</w:t>
      </w:r>
      <w:bookmarkEnd w:id="13"/>
      <w:bookmarkEnd w:id="14"/>
      <w:bookmarkEnd w:id="15"/>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往在对工业企业能源利用状况、主要用能设备、工艺系统的能源消耗、单位产品能耗等进行监督管理时，主要依靠工业企业每年填报的相关能源报表，进行对比分析。这种方式数据严重滞后，并且可靠性难以判断，实效性差，不能及时的对能源进行有效的管理。通过建立重点用能企业能耗在线监测平台，利用信息化手段，提高对工业企业用能情况监督管理的能力。通过该系统平台，可以对各重点耗能企业的能源利用状况进行实时监控，了解和掌握各重点耗能企业实时能源使用情况，通过建立数学模式进行比较分析，对重点耗能企业进行能效评价，分析各工业企业的能源使用状况，并聘请相关行业的专家，对不同行业企业提出节能举措，促进了各工业企业提高节能意识，采用先进适用的节能技术、设备，提高能源管理水平，降低能源消费，对原有工艺系统进行节能改造。</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6" w:name="_Toc12229"/>
      <w:bookmarkStart w:id="17" w:name="_Toc32244"/>
      <w:bookmarkStart w:id="18" w:name="_Toc6186"/>
      <w:r>
        <w:rPr>
          <w:rFonts w:hint="eastAsia"/>
          <w:lang w:val="en-US" w:eastAsia="zh-CN"/>
        </w:rPr>
        <w:t>工业能效提升的需要</w:t>
      </w:r>
      <w:bookmarkEnd w:id="16"/>
      <w:bookmarkEnd w:id="17"/>
      <w:bookmarkEnd w:id="18"/>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高工业的能源利用效率是有效缓解能源供应紧张状况的重要举措，通过重点用能企业能耗在线监测平台，可以清楚的知道各工业企业实时的能源利用状况、企业工艺系统效率高低、企业是否超负荷运行等一系列关于企业时时能效状况的信息，这对于提高企业的能源利用效率非常有利。</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9" w:name="_Toc28238"/>
      <w:bookmarkStart w:id="20" w:name="_Toc23736"/>
      <w:bookmarkStart w:id="21" w:name="_Toc3375"/>
      <w:r>
        <w:rPr>
          <w:rFonts w:hint="eastAsia"/>
          <w:lang w:val="en-US" w:eastAsia="zh-CN"/>
        </w:rPr>
        <w:t>能源供需预警的需要</w:t>
      </w:r>
      <w:bookmarkEnd w:id="19"/>
      <w:bookmarkEnd w:id="20"/>
      <w:bookmarkEnd w:id="2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供需预警系统，是社会可持续能源的根本保障。能源供需预警系统需要详细的、实时的企业能源消费状况，以及下一时段该企业的能源需求预测。现场监察无法反应重点用能企业能源实时消费状况，更不用说对能源供需进行预警。建立企业能流在线监测平台，对企业能源消费能够实时监控，并且能在关键时刻发出预警，这对全面落实可持续的科学发展都非常重要。</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22" w:name="_Toc5487"/>
      <w:bookmarkStart w:id="23" w:name="_Toc25280"/>
      <w:bookmarkStart w:id="24" w:name="_Toc9842"/>
      <w:r>
        <w:rPr>
          <w:rFonts w:hint="eastAsia"/>
          <w:lang w:val="en-US" w:eastAsia="zh-CN"/>
        </w:rPr>
        <w:t>信息化建设的需要</w:t>
      </w:r>
      <w:bookmarkEnd w:id="22"/>
      <w:bookmarkEnd w:id="23"/>
      <w:bookmarkEnd w:id="24"/>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建立企业能流在线监测平台是信息化建设的前提条件。信息化需时时清楚的了解各行业的实际信息。</w:t>
      </w:r>
    </w:p>
    <w:p>
      <w:pPr>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1) 有</w:t>
      </w:r>
      <w:r>
        <w:rPr>
          <w:rFonts w:hint="eastAsia" w:asciiTheme="minorEastAsia" w:hAnsiTheme="minorEastAsia" w:eastAsiaTheme="minorEastAsia" w:cstheme="minorEastAsia"/>
          <w:sz w:val="24"/>
          <w:szCs w:val="24"/>
          <w:lang w:val="en-US" w:eastAsia="zh-CN"/>
        </w:rPr>
        <w:t>助于管理部门及时的了解各种信息，以便进行决策；</w:t>
      </w:r>
    </w:p>
    <w:p>
      <w:pPr>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2) 有</w:t>
      </w:r>
      <w:r>
        <w:rPr>
          <w:rFonts w:hint="eastAsia" w:asciiTheme="minorEastAsia" w:hAnsiTheme="minorEastAsia" w:eastAsiaTheme="minorEastAsia" w:cstheme="minorEastAsia"/>
          <w:sz w:val="24"/>
          <w:szCs w:val="24"/>
          <w:lang w:val="en-US" w:eastAsia="zh-CN"/>
        </w:rPr>
        <w:t>助于各重点耗能企业、各工业企业了解自己的能耗情况，以及在行业中所处的位置，并及时发现问题，发现节能潜力。</w:t>
      </w:r>
    </w:p>
    <w:p>
      <w:pPr>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因</w:t>
      </w:r>
      <w:r>
        <w:rPr>
          <w:rFonts w:hint="eastAsia" w:asciiTheme="minorEastAsia" w:hAnsiTheme="minorEastAsia" w:eastAsiaTheme="minorEastAsia" w:cstheme="minorEastAsia"/>
          <w:sz w:val="24"/>
          <w:szCs w:val="24"/>
          <w:lang w:val="en-US" w:eastAsia="zh-CN"/>
        </w:rPr>
        <w:t>此，本项目的建设是十分迫切和必要的。</w:t>
      </w:r>
    </w:p>
    <w:p>
      <w:pPr>
        <w:pStyle w:val="3"/>
        <w:pageBreakBefore w:val="0"/>
        <w:kinsoku/>
        <w:overflowPunct/>
        <w:topLinePunct w:val="0"/>
        <w:bidi w:val="0"/>
        <w:spacing w:line="360" w:lineRule="auto"/>
        <w:ind w:left="575" w:leftChars="0" w:hanging="575" w:firstLineChars="0"/>
        <w:rPr>
          <w:rFonts w:hint="eastAsia"/>
          <w:b/>
          <w:bCs w:val="0"/>
        </w:rPr>
      </w:pPr>
      <w:bookmarkStart w:id="25" w:name="_Toc24925"/>
      <w:bookmarkStart w:id="26" w:name="_Toc32716"/>
      <w:bookmarkStart w:id="27" w:name="_Toc4506"/>
      <w:r>
        <w:rPr>
          <w:rFonts w:hint="eastAsia"/>
          <w:b/>
          <w:bCs w:val="0"/>
        </w:rPr>
        <w:t>遵循标准</w:t>
      </w:r>
      <w:bookmarkEnd w:id="25"/>
      <w:bookmarkEnd w:id="26"/>
      <w:bookmarkEnd w:id="27"/>
    </w:p>
    <w:p>
      <w:pPr>
        <w:pStyle w:val="4"/>
        <w:pageBreakBefore w:val="0"/>
        <w:kinsoku/>
        <w:overflowPunct/>
        <w:topLinePunct w:val="0"/>
        <w:bidi w:val="0"/>
        <w:spacing w:line="360" w:lineRule="auto"/>
        <w:ind w:left="720" w:leftChars="0" w:hanging="720" w:firstLineChars="0"/>
        <w:rPr>
          <w:rFonts w:hint="eastAsia"/>
          <w:lang w:val="en-US" w:eastAsia="zh-CN"/>
        </w:rPr>
      </w:pPr>
      <w:bookmarkStart w:id="28" w:name="_Toc15828"/>
      <w:bookmarkStart w:id="29" w:name="_Toc23001"/>
      <w:bookmarkStart w:id="30" w:name="_Toc18886"/>
      <w:r>
        <w:rPr>
          <w:rFonts w:hint="eastAsia"/>
          <w:lang w:val="en-US" w:eastAsia="zh-CN"/>
        </w:rPr>
        <w:t>技术标准</w:t>
      </w:r>
      <w:bookmarkEnd w:id="28"/>
      <w:bookmarkEnd w:id="29"/>
      <w:bookmarkEnd w:id="30"/>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中华人民共和国节约能源法</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GB/T 6422 企业能耗计量与测试导则</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GB/T 15316 节能监测技术通则</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GB/T 18603 天然气计量系统技术要求</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GB/T 2589 综合能耗计算通则</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GB/T18603 产品单位产量能源消耗定额编制通则</w:t>
      </w:r>
    </w:p>
    <w:p>
      <w:pPr>
        <w:pageBreakBefore w:val="0"/>
        <w:numPr>
          <w:ilvl w:val="0"/>
          <w:numId w:val="3"/>
        </w:numPr>
        <w:kinsoku/>
        <w:overflowPunct/>
        <w:topLinePunct w:val="0"/>
        <w:bidi w:val="0"/>
        <w:spacing w:line="360" w:lineRule="auto"/>
        <w:rPr>
          <w:rFonts w:ascii="宋体" w:hAnsi="宋体"/>
          <w:sz w:val="24"/>
        </w:rPr>
      </w:pPr>
      <w:r>
        <w:rPr>
          <w:rFonts w:hint="eastAsia" w:ascii="宋体" w:hAnsi="宋体"/>
          <w:sz w:val="24"/>
        </w:rPr>
        <w:t>《能源计量数据采集系统数据传输协议》 DB35/ 987-2010</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《电气装置安装工程施工及验收规范》 GBJ232-82</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《电子计算机场地通用规范》GB/T2887-2000</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《民用建筑电气设计规范》JG/T16-92</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《电子计算机机房设计规范》GB50174-93</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《工业企业通信设计规范》GBJ42-81</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《工业自动化仪表工程施工及验收规范》（GBJ93-86）</w:t>
      </w:r>
    </w:p>
    <w:p>
      <w:pPr>
        <w:pageBreakBefore w:val="0"/>
        <w:numPr>
          <w:ilvl w:val="0"/>
          <w:numId w:val="3"/>
        </w:numPr>
        <w:kinsoku/>
        <w:overflowPunct/>
        <w:topLinePunct w:val="0"/>
        <w:bidi w:val="0"/>
        <w:spacing w:line="360" w:lineRule="auto"/>
        <w:rPr>
          <w:rFonts w:ascii="宋体" w:hAnsi="宋体"/>
          <w:sz w:val="24"/>
        </w:rPr>
      </w:pPr>
      <w:r>
        <w:rPr>
          <w:rFonts w:hint="eastAsia" w:ascii="宋体" w:hAnsi="宋体"/>
          <w:sz w:val="24"/>
        </w:rPr>
        <w:t>GB 50093-2002 工业自动化仪表工程施工验收规范</w:t>
      </w:r>
    </w:p>
    <w:p>
      <w:pPr>
        <w:pageBreakBefore w:val="0"/>
        <w:numPr>
          <w:ilvl w:val="0"/>
          <w:numId w:val="3"/>
        </w:numPr>
        <w:kinsoku/>
        <w:overflowPunct/>
        <w:topLinePunct w:val="0"/>
        <w:bidi w:val="0"/>
        <w:spacing w:line="360" w:lineRule="auto"/>
        <w:rPr>
          <w:rFonts w:ascii="宋体" w:hAnsi="宋体"/>
          <w:sz w:val="24"/>
        </w:rPr>
      </w:pPr>
      <w:r>
        <w:rPr>
          <w:rFonts w:hint="eastAsia" w:ascii="宋体" w:hAnsi="宋体"/>
          <w:sz w:val="24"/>
        </w:rPr>
        <w:t>GB/T12504－90 计算机软件质量保证计划规范</w:t>
      </w:r>
    </w:p>
    <w:p>
      <w:pPr>
        <w:pageBreakBefore w:val="0"/>
        <w:numPr>
          <w:ilvl w:val="0"/>
          <w:numId w:val="3"/>
        </w:numPr>
        <w:kinsoku/>
        <w:overflowPunct/>
        <w:topLinePunct w:val="0"/>
        <w:bidi w:val="0"/>
        <w:spacing w:line="360" w:lineRule="auto"/>
        <w:rPr>
          <w:rFonts w:ascii="宋体" w:hAnsi="宋体"/>
          <w:sz w:val="24"/>
        </w:rPr>
      </w:pPr>
      <w:r>
        <w:rPr>
          <w:rFonts w:hint="eastAsia" w:ascii="宋体" w:hAnsi="宋体"/>
          <w:sz w:val="24"/>
        </w:rPr>
        <w:t>GB/8567－88  《计算机软件产品开发文件编制指南》</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31" w:name="_Toc22737"/>
      <w:bookmarkStart w:id="32" w:name="_Toc23522"/>
      <w:bookmarkStart w:id="33" w:name="_Toc15226"/>
      <w:r>
        <w:rPr>
          <w:rFonts w:hint="eastAsia"/>
          <w:lang w:val="en-US" w:eastAsia="zh-CN"/>
        </w:rPr>
        <w:t>计量器具标准</w:t>
      </w:r>
      <w:bookmarkEnd w:id="31"/>
      <w:bookmarkEnd w:id="32"/>
      <w:bookmarkEnd w:id="33"/>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GB17167－2006 用能单位能源计量器具配备和管理通则</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HG20507－92 自动化仪表选型规定；</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34" w:name="_Toc19128"/>
      <w:bookmarkStart w:id="35" w:name="_Toc16961"/>
      <w:bookmarkStart w:id="36" w:name="_Toc4733"/>
      <w:r>
        <w:rPr>
          <w:rFonts w:hint="eastAsia"/>
          <w:lang w:val="en-US" w:eastAsia="zh-CN"/>
        </w:rPr>
        <w:t>通信协议标准</w:t>
      </w:r>
      <w:bookmarkEnd w:id="34"/>
      <w:bookmarkEnd w:id="35"/>
      <w:bookmarkEnd w:id="36"/>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国家标准：DL/T634-1997 远动设备及系统传输规约</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国家标准：DL/T645-1997 多功能电能表通信规约</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37" w:name="_Toc17464"/>
      <w:bookmarkStart w:id="38" w:name="_Toc20389"/>
      <w:bookmarkStart w:id="39" w:name="_Toc26607"/>
      <w:r>
        <w:rPr>
          <w:rFonts w:hint="eastAsia"/>
          <w:lang w:val="en-US" w:eastAsia="zh-CN"/>
        </w:rPr>
        <w:t>主站系统标准</w:t>
      </w:r>
      <w:bookmarkEnd w:id="37"/>
      <w:bookmarkEnd w:id="38"/>
      <w:bookmarkEnd w:id="39"/>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GB8566-88</w:t>
      </w:r>
      <w:r>
        <w:rPr>
          <w:rFonts w:ascii="宋体" w:hAnsi="宋体"/>
          <w:sz w:val="24"/>
        </w:rPr>
        <w:t xml:space="preserve">  </w:t>
      </w:r>
      <w:r>
        <w:rPr>
          <w:rFonts w:hint="eastAsia" w:ascii="宋体" w:hAnsi="宋体"/>
          <w:sz w:val="24"/>
        </w:rPr>
        <w:t>计算机软件开发规范</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GB8567-88</w:t>
      </w:r>
      <w:r>
        <w:rPr>
          <w:rFonts w:ascii="宋体" w:hAnsi="宋体"/>
          <w:sz w:val="24"/>
        </w:rPr>
        <w:t xml:space="preserve">  </w:t>
      </w:r>
      <w:r>
        <w:rPr>
          <w:rFonts w:hint="eastAsia" w:ascii="宋体" w:hAnsi="宋体"/>
          <w:sz w:val="24"/>
        </w:rPr>
        <w:t>计算机产品开发文件编制指南</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40" w:name="_Toc11691"/>
      <w:bookmarkStart w:id="41" w:name="_Toc15778"/>
      <w:bookmarkStart w:id="42" w:name="_Toc1856"/>
      <w:r>
        <w:rPr>
          <w:rFonts w:hint="eastAsia"/>
          <w:lang w:val="en-US" w:eastAsia="zh-CN"/>
        </w:rPr>
        <w:t>设备安装标准</w:t>
      </w:r>
      <w:bookmarkEnd w:id="40"/>
      <w:bookmarkEnd w:id="41"/>
      <w:bookmarkEnd w:id="42"/>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GB 4943－95  《信息计算设备包括电气设备的安装》</w:t>
      </w:r>
    </w:p>
    <w:p>
      <w:pPr>
        <w:pageBreakBefore w:val="0"/>
        <w:numPr>
          <w:ilvl w:val="0"/>
          <w:numId w:val="3"/>
        </w:numPr>
        <w:kinsoku/>
        <w:overflowPunct/>
        <w:topLinePunct w:val="0"/>
        <w:autoSpaceDE w:val="0"/>
        <w:autoSpaceDN w:val="0"/>
        <w:bidi w:val="0"/>
        <w:adjustRightInd w:val="0"/>
        <w:spacing w:line="360" w:lineRule="auto"/>
        <w:textAlignment w:val="baseline"/>
        <w:rPr>
          <w:rFonts w:ascii="宋体" w:hAnsi="宋体"/>
          <w:sz w:val="24"/>
        </w:rPr>
      </w:pPr>
      <w:r>
        <w:rPr>
          <w:rFonts w:hint="eastAsia" w:ascii="宋体" w:hAnsi="宋体"/>
          <w:sz w:val="24"/>
        </w:rPr>
        <w:t>ISO11801       国际布线标准</w:t>
      </w:r>
      <w:r>
        <w:rPr>
          <w:rFonts w:ascii="宋体" w:hAnsi="宋体"/>
          <w:sz w:val="24"/>
        </w:rPr>
        <w:br w:type="page"/>
      </w:r>
    </w:p>
    <w:p>
      <w:pPr>
        <w:pStyle w:val="2"/>
        <w:pageBreakBefore w:val="0"/>
        <w:kinsoku/>
        <w:overflowPunct/>
        <w:topLinePunct w:val="0"/>
        <w:bidi w:val="0"/>
        <w:spacing w:line="360" w:lineRule="auto"/>
        <w:ind w:left="432" w:leftChars="0" w:hanging="432" w:firstLineChars="0"/>
        <w:jc w:val="center"/>
        <w:rPr>
          <w:rFonts w:hint="eastAsia"/>
          <w:lang w:val="en-US" w:eastAsia="zh-CN"/>
        </w:rPr>
      </w:pPr>
      <w:bookmarkStart w:id="43" w:name="_Toc19683"/>
      <w:bookmarkStart w:id="44" w:name="_Toc7478"/>
      <w:bookmarkStart w:id="45" w:name="_Toc25073"/>
      <w:r>
        <w:rPr>
          <w:rFonts w:hint="eastAsia"/>
          <w:lang w:val="en-US" w:eastAsia="zh-CN"/>
        </w:rPr>
        <w:t>技术方案</w:t>
      </w:r>
      <w:bookmarkEnd w:id="43"/>
      <w:bookmarkEnd w:id="44"/>
      <w:bookmarkEnd w:id="45"/>
    </w:p>
    <w:p>
      <w:pPr>
        <w:pStyle w:val="3"/>
        <w:pageBreakBefore w:val="0"/>
        <w:kinsoku/>
        <w:overflowPunct/>
        <w:topLinePunct w:val="0"/>
        <w:bidi w:val="0"/>
        <w:spacing w:line="360" w:lineRule="auto"/>
        <w:ind w:left="575" w:leftChars="0" w:hanging="575" w:firstLineChars="0"/>
        <w:rPr>
          <w:rFonts w:hint="eastAsia"/>
          <w:b/>
          <w:bCs w:val="0"/>
        </w:rPr>
      </w:pPr>
      <w:bookmarkStart w:id="46" w:name="_Toc77"/>
      <w:bookmarkStart w:id="47" w:name="_Toc28066"/>
      <w:bookmarkStart w:id="48" w:name="_Toc13619"/>
      <w:r>
        <w:rPr>
          <w:rFonts w:hint="eastAsia"/>
          <w:b/>
          <w:bCs w:val="0"/>
        </w:rPr>
        <w:t>方案设计</w:t>
      </w:r>
      <w:bookmarkEnd w:id="46"/>
      <w:bookmarkEnd w:id="47"/>
      <w:bookmarkEnd w:id="48"/>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通过建设企业能耗监测系统系统平台，可实现企业能源数据在线监测，并对采集到的能耗数据进行统计、计算、分析等，及时反映能源利用情况，挖掘节能机会。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系统功能包括信息注册、区域能耗监视、报表、分析、报警、能源结算管理、电力需求管理、能源管理体系管理等。</w:t>
      </w:r>
    </w:p>
    <w:p>
      <w:pPr>
        <w:pageBreakBefore w:val="0"/>
        <w:widowControl/>
        <w:shd w:val="clear" w:color="auto" w:fill="FFFFFF"/>
        <w:tabs>
          <w:tab w:val="left" w:pos="4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系统建设强调“以人为本”，其服务性至少包括三个方面：</w:t>
      </w:r>
    </w:p>
    <w:p>
      <w:pPr>
        <w:pStyle w:val="23"/>
        <w:pageBreakBefore w:val="0"/>
        <w:widowControl/>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rPr>
        <w:t>一是</w:t>
      </w:r>
      <w:r>
        <w:rPr>
          <w:rFonts w:hint="eastAsia" w:asciiTheme="minorEastAsia" w:hAnsiTheme="minorEastAsia" w:eastAsiaTheme="minorEastAsia" w:cstheme="minorEastAsia"/>
          <w:kern w:val="2"/>
          <w:sz w:val="24"/>
          <w:szCs w:val="24"/>
          <w:lang w:val="en-US" w:eastAsia="zh-CN" w:bidi="ar-SA"/>
        </w:rPr>
        <w:t>服务于广大高能耗企业的能源使用数据统计与分析；</w:t>
      </w:r>
    </w:p>
    <w:p>
      <w:pPr>
        <w:pStyle w:val="23"/>
        <w:pageBreakBefore w:val="0"/>
        <w:widowControl/>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rPr>
        <w:t>二是</w:t>
      </w:r>
      <w:r>
        <w:rPr>
          <w:rFonts w:hint="eastAsia" w:asciiTheme="minorEastAsia" w:hAnsiTheme="minorEastAsia" w:eastAsiaTheme="minorEastAsia" w:cstheme="minorEastAsia"/>
          <w:kern w:val="2"/>
          <w:sz w:val="24"/>
          <w:szCs w:val="24"/>
          <w:lang w:val="en-US" w:eastAsia="zh-CN" w:bidi="ar-SA"/>
        </w:rPr>
        <w:t>服务于企业设备管理部门的能效管理；</w:t>
      </w:r>
    </w:p>
    <w:p>
      <w:pPr>
        <w:pStyle w:val="23"/>
        <w:pageBreakBefore w:val="0"/>
        <w:widowControl/>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360" w:lineRule="auto"/>
        <w:ind w:firstLine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w:t>
      </w:r>
      <w:r>
        <w:rPr>
          <w:rFonts w:hint="eastAsia" w:asciiTheme="minorEastAsia" w:hAnsiTheme="minorEastAsia" w:eastAsiaTheme="minorEastAsia" w:cstheme="minorEastAsia"/>
          <w:kern w:val="2"/>
          <w:sz w:val="24"/>
          <w:szCs w:val="24"/>
          <w:lang w:val="en-US" w:eastAsia="zh-CN" w:bidi="ar-SA"/>
        </w:rPr>
        <w:t>是服务于企业管理者优化节能和竞价决策。</w:t>
      </w:r>
    </w:p>
    <w:p>
      <w:pPr>
        <w:pStyle w:val="3"/>
        <w:pageBreakBefore w:val="0"/>
        <w:kinsoku/>
        <w:overflowPunct/>
        <w:topLinePunct w:val="0"/>
        <w:bidi w:val="0"/>
        <w:spacing w:line="360" w:lineRule="auto"/>
        <w:ind w:left="575" w:leftChars="0" w:hanging="575" w:firstLineChars="0"/>
        <w:rPr>
          <w:rFonts w:hint="eastAsia"/>
          <w:b/>
          <w:bCs w:val="0"/>
        </w:rPr>
      </w:pPr>
      <w:bookmarkStart w:id="49" w:name="_Toc28435"/>
      <w:bookmarkStart w:id="50" w:name="_Toc26165"/>
      <w:bookmarkStart w:id="51" w:name="_Toc1915"/>
      <w:r>
        <w:rPr>
          <w:rFonts w:hint="eastAsia"/>
          <w:b/>
          <w:bCs w:val="0"/>
        </w:rPr>
        <w:t>方案特点</w:t>
      </w:r>
      <w:bookmarkEnd w:id="49"/>
      <w:bookmarkEnd w:id="50"/>
      <w:bookmarkEnd w:id="51"/>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52" w:name="_Toc10746"/>
      <w:bookmarkStart w:id="53" w:name="_Toc51707308"/>
      <w:bookmarkStart w:id="54" w:name="_Toc32480"/>
      <w:bookmarkStart w:id="55" w:name="_Toc19864"/>
      <w:r>
        <w:rPr>
          <w:rFonts w:hint="eastAsia" w:asciiTheme="minorEastAsia" w:hAnsiTheme="minorEastAsia" w:eastAsiaTheme="minorEastAsia" w:cstheme="minorEastAsia"/>
          <w:sz w:val="24"/>
        </w:rPr>
        <w:t>突出重点，实用为主</w:t>
      </w:r>
      <w:bookmarkEnd w:id="52"/>
      <w:bookmarkEnd w:id="53"/>
      <w:bookmarkEnd w:id="54"/>
      <w:bookmarkEnd w:id="55"/>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充分结合用电管理当前遇到的主要问题，重点监控用电情况，为推进指标化管理提供准确可靠的数据支撑。</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56" w:name="_Toc51707309"/>
      <w:bookmarkStart w:id="57" w:name="_Toc24144"/>
      <w:bookmarkStart w:id="58" w:name="_Toc6280"/>
      <w:bookmarkStart w:id="59" w:name="_Toc5340"/>
      <w:r>
        <w:rPr>
          <w:rFonts w:hint="eastAsia" w:asciiTheme="minorEastAsia" w:hAnsiTheme="minorEastAsia" w:eastAsiaTheme="minorEastAsia" w:cstheme="minorEastAsia"/>
          <w:sz w:val="24"/>
        </w:rPr>
        <w:t>传输数据稳定可靠</w:t>
      </w:r>
      <w:bookmarkEnd w:id="56"/>
      <w:bookmarkEnd w:id="57"/>
      <w:bookmarkEnd w:id="58"/>
      <w:bookmarkEnd w:id="59"/>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结合实际情况，一体化装置与主站服务器数据传输采用4G网为主要传输通道，保证数据传输的稳定可靠。</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60" w:name="_Toc27093"/>
      <w:bookmarkStart w:id="61" w:name="_Toc51707310"/>
      <w:bookmarkStart w:id="62" w:name="_Toc9069"/>
      <w:bookmarkStart w:id="63" w:name="_Toc13719"/>
      <w:r>
        <w:rPr>
          <w:rFonts w:hint="eastAsia" w:asciiTheme="minorEastAsia" w:hAnsiTheme="minorEastAsia" w:eastAsiaTheme="minorEastAsia" w:cstheme="minorEastAsia"/>
          <w:sz w:val="24"/>
        </w:rPr>
        <w:t>组网方式因地制宜，灵活、可靠</w:t>
      </w:r>
      <w:bookmarkEnd w:id="60"/>
      <w:bookmarkEnd w:id="61"/>
      <w:bookmarkEnd w:id="62"/>
      <w:bookmarkEnd w:id="63"/>
    </w:p>
    <w:p>
      <w:pPr>
        <w:pageBreakBefore w:val="0"/>
        <w:kinsoku/>
        <w:overflowPunct/>
        <w:topLinePunct w:val="0"/>
        <w:bidi w:val="0"/>
        <w:spacing w:line="360" w:lineRule="auto"/>
        <w:ind w:left="420"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采集设备与计量设备之间组网方式灵活，系统支持载波、无线和RS-485总线组网或者混合组网方式，可以根据实际情况，灵活选择最优组网方式。</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64" w:name="_Toc6589"/>
      <w:bookmarkStart w:id="65" w:name="_Toc25463"/>
      <w:bookmarkStart w:id="66" w:name="_Toc8717"/>
      <w:bookmarkStart w:id="67" w:name="_Toc51707311"/>
      <w:r>
        <w:rPr>
          <w:rFonts w:hint="eastAsia" w:asciiTheme="minorEastAsia" w:hAnsiTheme="minorEastAsia" w:eastAsiaTheme="minorEastAsia" w:cstheme="minorEastAsia"/>
          <w:sz w:val="24"/>
        </w:rPr>
        <w:t>设备质量和售后服务保障有力</w:t>
      </w:r>
      <w:bookmarkEnd w:id="64"/>
      <w:bookmarkEnd w:id="65"/>
      <w:bookmarkEnd w:id="66"/>
      <w:bookmarkEnd w:id="67"/>
    </w:p>
    <w:p>
      <w:pPr>
        <w:pageBreakBefore w:val="0"/>
        <w:kinsoku/>
        <w:overflowPunct/>
        <w:topLinePunct w:val="0"/>
        <w:bidi w:val="0"/>
        <w:spacing w:line="360" w:lineRule="auto"/>
        <w:ind w:left="42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本</w:t>
      </w:r>
      <w:r>
        <w:rPr>
          <w:rFonts w:hint="eastAsia" w:asciiTheme="minorEastAsia" w:hAnsiTheme="minorEastAsia" w:eastAsiaTheme="minorEastAsia" w:cstheme="minorEastAsia"/>
          <w:sz w:val="24"/>
          <w:szCs w:val="24"/>
          <w:lang w:val="en-US" w:eastAsia="zh-CN"/>
        </w:rPr>
        <w:t>方案选用的一体化装置、水电表和系统软件均为本公司自主研发、生产，从根本上保证了用能数据计量的准确性和稳定性。</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68" w:name="_Toc19728"/>
      <w:bookmarkStart w:id="69" w:name="_Toc51707312"/>
      <w:bookmarkStart w:id="70" w:name="_Toc25297"/>
      <w:bookmarkStart w:id="71" w:name="_Toc24818"/>
      <w:r>
        <w:rPr>
          <w:rFonts w:hint="eastAsia" w:asciiTheme="minorEastAsia" w:hAnsiTheme="minorEastAsia" w:eastAsiaTheme="minorEastAsia" w:cstheme="minorEastAsia"/>
          <w:sz w:val="24"/>
        </w:rPr>
        <w:t>产品优势</w:t>
      </w:r>
      <w:bookmarkEnd w:id="68"/>
      <w:bookmarkEnd w:id="69"/>
      <w:bookmarkEnd w:id="70"/>
      <w:bookmarkEnd w:id="7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具备对各类水电计量表计、各种数据采集和多种通信方式（光纤、以太网络、GPRS、载波、小无线、RS485、M-bus等）的接入能力，具备丰富的接入和现场经验，能有效解决系统在使用过程中面临的最大难点---设备接入和通道问题。</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72" w:name="_Toc3144"/>
      <w:bookmarkStart w:id="73" w:name="_Toc27110"/>
      <w:bookmarkStart w:id="74" w:name="_Toc19613"/>
      <w:bookmarkStart w:id="75" w:name="_Toc51707313"/>
      <w:r>
        <w:rPr>
          <w:rFonts w:hint="eastAsia" w:asciiTheme="minorEastAsia" w:hAnsiTheme="minorEastAsia" w:eastAsiaTheme="minorEastAsia" w:cstheme="minorEastAsia"/>
          <w:sz w:val="24"/>
        </w:rPr>
        <w:t>系统先进</w:t>
      </w:r>
      <w:bookmarkEnd w:id="72"/>
      <w:bookmarkEnd w:id="73"/>
      <w:bookmarkEnd w:id="74"/>
      <w:bookmarkEnd w:id="75"/>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系统设计架构先进、实用、平台化、结构化、可扩展性思想贯穿设计及开发的全流程。支持二次开发平台，系统应用易扩展；所有功能模块均采用B/S方式，符合应用发展的趋势。</w:t>
      </w:r>
    </w:p>
    <w:p>
      <w:pPr>
        <w:pageBreakBefore w:val="0"/>
        <w:numPr>
          <w:ilvl w:val="0"/>
          <w:numId w:val="5"/>
        </w:numPr>
        <w:kinsoku/>
        <w:overflowPunct/>
        <w:topLinePunct w:val="0"/>
        <w:bidi w:val="0"/>
        <w:spacing w:line="360" w:lineRule="auto"/>
        <w:ind w:left="845"/>
        <w:outlineLvl w:val="2"/>
        <w:rPr>
          <w:rFonts w:asciiTheme="minorEastAsia" w:hAnsiTheme="minorEastAsia" w:eastAsiaTheme="minorEastAsia" w:cstheme="minorEastAsia"/>
          <w:sz w:val="24"/>
        </w:rPr>
      </w:pPr>
      <w:bookmarkStart w:id="76" w:name="_Toc51707314"/>
      <w:bookmarkStart w:id="77" w:name="_Toc4561"/>
      <w:bookmarkStart w:id="78" w:name="_Toc6534"/>
      <w:bookmarkStart w:id="79" w:name="_Toc23636"/>
      <w:r>
        <w:rPr>
          <w:rFonts w:hint="eastAsia" w:asciiTheme="minorEastAsia" w:hAnsiTheme="minorEastAsia" w:eastAsiaTheme="minorEastAsia" w:cstheme="minorEastAsia"/>
          <w:sz w:val="24"/>
        </w:rPr>
        <w:t>本地决策</w:t>
      </w:r>
      <w:bookmarkEnd w:id="76"/>
      <w:bookmarkEnd w:id="77"/>
      <w:bookmarkEnd w:id="78"/>
      <w:bookmarkEnd w:id="79"/>
    </w:p>
    <w:p>
      <w:pPr>
        <w:pageBreakBefore w:val="0"/>
        <w:kinsoku/>
        <w:overflowPunct/>
        <w:topLinePunct w:val="0"/>
        <w:bidi w:val="0"/>
        <w:spacing w:line="360" w:lineRule="auto"/>
        <w:ind w:left="70" w:leftChars="29"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使用一体化装置作为边缘网关，具备本地计算分析、决策功能。</w:t>
      </w:r>
    </w:p>
    <w:p>
      <w:pPr>
        <w:pStyle w:val="3"/>
        <w:pageBreakBefore w:val="0"/>
        <w:kinsoku/>
        <w:overflowPunct/>
        <w:topLinePunct w:val="0"/>
        <w:bidi w:val="0"/>
        <w:spacing w:line="360" w:lineRule="auto"/>
        <w:ind w:left="575" w:leftChars="0" w:hanging="575" w:firstLineChars="0"/>
        <w:rPr>
          <w:rFonts w:hint="eastAsia"/>
          <w:b/>
          <w:bCs w:val="0"/>
        </w:rPr>
      </w:pPr>
      <w:bookmarkStart w:id="80" w:name="_Toc5193"/>
      <w:bookmarkStart w:id="81" w:name="_Toc1379"/>
      <w:bookmarkStart w:id="82" w:name="_Toc666"/>
      <w:r>
        <w:rPr>
          <w:rFonts w:hint="eastAsia"/>
          <w:b/>
          <w:bCs w:val="0"/>
        </w:rPr>
        <w:t>设计原则</w:t>
      </w:r>
      <w:bookmarkEnd w:id="80"/>
      <w:bookmarkEnd w:id="81"/>
      <w:bookmarkEnd w:id="82"/>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83" w:name="_Toc26311"/>
      <w:bookmarkStart w:id="84" w:name="_Toc29439"/>
      <w:bookmarkStart w:id="85" w:name="_Toc16466"/>
      <w:r>
        <w:rPr>
          <w:rFonts w:hint="eastAsia" w:asciiTheme="minorEastAsia" w:hAnsiTheme="minorEastAsia" w:eastAsiaTheme="minorEastAsia" w:cstheme="minorEastAsia"/>
          <w:sz w:val="24"/>
        </w:rPr>
        <w:t>开放性</w:t>
      </w:r>
      <w:bookmarkEnd w:id="83"/>
      <w:bookmarkEnd w:id="84"/>
      <w:bookmarkEnd w:id="85"/>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系统所采用的软件遵守公认的开放性标准，方便系统的维护、扩充和升级，可与其他系统实现无缝集成。安全性</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系统所采用的软件能满足长时间连续稳定可靠运行的要求，保证数据的完整性和一致性，防止来自系统自身的意外或人为的误操作，软件在所有现场均一次性投运成功，所有系统运行至今没有出现过由于系统软件原因出现的计算机死机或系统崩溃问题。</w:t>
      </w:r>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86" w:name="_Toc28930"/>
      <w:bookmarkStart w:id="87" w:name="_Toc1587"/>
      <w:bookmarkStart w:id="88" w:name="_Toc1678"/>
      <w:r>
        <w:rPr>
          <w:rFonts w:hint="eastAsia" w:asciiTheme="minorEastAsia" w:hAnsiTheme="minorEastAsia" w:eastAsiaTheme="minorEastAsia" w:cstheme="minorEastAsia"/>
          <w:sz w:val="24"/>
        </w:rPr>
        <w:t>功能完备性</w:t>
      </w:r>
      <w:bookmarkEnd w:id="86"/>
      <w:bookmarkEnd w:id="87"/>
      <w:bookmarkEnd w:id="88"/>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系统包括分时计费（峰、谷、平等十种费率）、智能操控、微机防误操作等功能，满足内部审核和运行管理需求。</w:t>
      </w:r>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89" w:name="_Toc4425"/>
      <w:bookmarkStart w:id="90" w:name="_Toc9917"/>
      <w:bookmarkStart w:id="91" w:name="_Toc4904"/>
      <w:r>
        <w:rPr>
          <w:rFonts w:hint="eastAsia" w:asciiTheme="minorEastAsia" w:hAnsiTheme="minorEastAsia" w:eastAsiaTheme="minorEastAsia" w:cstheme="minorEastAsia"/>
          <w:sz w:val="24"/>
        </w:rPr>
        <w:t>实时性</w:t>
      </w:r>
      <w:bookmarkEnd w:id="89"/>
      <w:bookmarkEnd w:id="90"/>
      <w:bookmarkEnd w:id="9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系统软件满足对实时性的要求，系统响应时间足够短，可在数秒之内，把分布在各个变配电室内用电情况进行集中监视。</w:t>
      </w:r>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92" w:name="_Toc14287"/>
      <w:bookmarkStart w:id="93" w:name="_Toc17928"/>
      <w:bookmarkStart w:id="94" w:name="_Toc3174"/>
      <w:r>
        <w:rPr>
          <w:rFonts w:hint="eastAsia" w:asciiTheme="minorEastAsia" w:hAnsiTheme="minorEastAsia" w:eastAsiaTheme="minorEastAsia" w:cstheme="minorEastAsia"/>
          <w:sz w:val="24"/>
        </w:rPr>
        <w:t>用户友好性</w:t>
      </w:r>
      <w:bookmarkEnd w:id="92"/>
      <w:bookmarkEnd w:id="93"/>
      <w:bookmarkEnd w:id="94"/>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系统软件用户界面简捷、直观，方便用户使用，通过简单的培训即可轻松的操作系统软件。</w:t>
      </w:r>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95" w:name="_Toc32673"/>
      <w:bookmarkStart w:id="96" w:name="_Toc26923"/>
      <w:bookmarkStart w:id="97" w:name="_Toc31910"/>
      <w:r>
        <w:rPr>
          <w:rFonts w:hint="eastAsia" w:asciiTheme="minorEastAsia" w:hAnsiTheme="minorEastAsia" w:eastAsiaTheme="minorEastAsia" w:cstheme="minorEastAsia"/>
          <w:sz w:val="24"/>
        </w:rPr>
        <w:t>稳定性</w:t>
      </w:r>
      <w:bookmarkEnd w:id="95"/>
      <w:bookmarkEnd w:id="96"/>
      <w:bookmarkEnd w:id="97"/>
    </w:p>
    <w:p>
      <w:pPr>
        <w:pageBreakBefore w:val="0"/>
        <w:numPr>
          <w:ilvl w:val="0"/>
          <w:numId w:val="7"/>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szCs w:val="24"/>
          <w:lang w:val="en-US" w:eastAsia="zh-CN"/>
        </w:rPr>
        <w:t>统设计考虑了数据存取的安全性，可选配软硬件防火墙防止病毒侵染。</w:t>
      </w:r>
    </w:p>
    <w:p>
      <w:pPr>
        <w:pageBreakBefore w:val="0"/>
        <w:numPr>
          <w:ilvl w:val="0"/>
          <w:numId w:val="7"/>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系统</w:t>
      </w:r>
      <w:r>
        <w:rPr>
          <w:rFonts w:hint="eastAsia" w:asciiTheme="minorEastAsia" w:hAnsiTheme="minorEastAsia" w:eastAsiaTheme="minorEastAsia" w:cstheme="minorEastAsia"/>
          <w:sz w:val="24"/>
          <w:szCs w:val="24"/>
          <w:lang w:val="en-US" w:eastAsia="zh-CN"/>
        </w:rPr>
        <w:t>具有权限管理功能，可向用户提供不同级别的权限。</w:t>
      </w:r>
    </w:p>
    <w:p>
      <w:pPr>
        <w:pageBreakBefore w:val="0"/>
        <w:numPr>
          <w:ilvl w:val="0"/>
          <w:numId w:val="7"/>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系统</w:t>
      </w:r>
      <w:r>
        <w:rPr>
          <w:rFonts w:hint="eastAsia" w:asciiTheme="minorEastAsia" w:hAnsiTheme="minorEastAsia" w:eastAsiaTheme="minorEastAsia" w:cstheme="minorEastAsia"/>
          <w:sz w:val="24"/>
          <w:szCs w:val="24"/>
          <w:lang w:val="en-US" w:eastAsia="zh-CN"/>
        </w:rPr>
        <w:t>在工程现场运行具有高可靠性，其平均无故障时间MTBF≥50000小时。</w:t>
      </w:r>
    </w:p>
    <w:p>
      <w:pPr>
        <w:pageBreakBefore w:val="0"/>
        <w:numPr>
          <w:ilvl w:val="0"/>
          <w:numId w:val="7"/>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szCs w:val="24"/>
          <w:lang w:val="en-US" w:eastAsia="zh-CN"/>
        </w:rPr>
        <w:t>统具有容错能力，当通讯出错、操作人员操作失误时，均不影响系统的正常运行。</w:t>
      </w:r>
    </w:p>
    <w:p>
      <w:pPr>
        <w:pageBreakBefore w:val="0"/>
        <w:numPr>
          <w:ilvl w:val="0"/>
          <w:numId w:val="7"/>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对</w:t>
      </w:r>
      <w:r>
        <w:rPr>
          <w:rFonts w:hint="eastAsia" w:asciiTheme="minorEastAsia" w:hAnsiTheme="minorEastAsia" w:eastAsiaTheme="minorEastAsia" w:cstheme="minorEastAsia"/>
          <w:sz w:val="24"/>
          <w:szCs w:val="24"/>
          <w:lang w:val="en-US" w:eastAsia="zh-CN"/>
        </w:rPr>
        <w:t>意外情况引起的故障，系统具备恢复能力，同时要同其他系统通信和接口能力，同时要实现监控中心管理，系统硬件、软件、数据便于维护，各部件具有自检和联机诊断校验能力。</w:t>
      </w:r>
    </w:p>
    <w:p>
      <w:pPr>
        <w:pageBreakBefore w:val="0"/>
        <w:numPr>
          <w:ilvl w:val="0"/>
          <w:numId w:val="7"/>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数</w:t>
      </w:r>
      <w:r>
        <w:rPr>
          <w:rFonts w:hint="eastAsia" w:asciiTheme="minorEastAsia" w:hAnsiTheme="minorEastAsia" w:eastAsiaTheme="minorEastAsia" w:cstheme="minorEastAsia"/>
          <w:sz w:val="24"/>
          <w:szCs w:val="24"/>
          <w:lang w:val="en-US" w:eastAsia="zh-CN"/>
        </w:rPr>
        <w:t>据有备份，便于安装启动，数据库存取具有应用程序接口，数据具有唯一性和一致性。</w:t>
      </w:r>
    </w:p>
    <w:p>
      <w:pPr>
        <w:pageBreakBefore w:val="0"/>
        <w:numPr>
          <w:ilvl w:val="0"/>
          <w:numId w:val="6"/>
        </w:numPr>
        <w:kinsoku/>
        <w:overflowPunct/>
        <w:topLinePunct w:val="0"/>
        <w:bidi w:val="0"/>
        <w:spacing w:line="360" w:lineRule="auto"/>
        <w:outlineLvl w:val="2"/>
        <w:rPr>
          <w:rFonts w:asciiTheme="minorEastAsia" w:hAnsiTheme="minorEastAsia" w:eastAsiaTheme="minorEastAsia" w:cstheme="minorEastAsia"/>
          <w:sz w:val="24"/>
        </w:rPr>
      </w:pPr>
      <w:bookmarkStart w:id="98" w:name="_Toc15123"/>
      <w:bookmarkStart w:id="99" w:name="_Toc16792"/>
      <w:bookmarkStart w:id="100" w:name="_Toc8978"/>
      <w:r>
        <w:rPr>
          <w:rFonts w:hint="eastAsia" w:asciiTheme="minorEastAsia" w:hAnsiTheme="minorEastAsia" w:eastAsiaTheme="minorEastAsia" w:cstheme="minorEastAsia"/>
          <w:sz w:val="24"/>
        </w:rPr>
        <w:t>可靠性</w:t>
      </w:r>
      <w:bookmarkEnd w:id="98"/>
      <w:bookmarkEnd w:id="99"/>
      <w:bookmarkEnd w:id="100"/>
    </w:p>
    <w:p>
      <w:pPr>
        <w:pageBreakBefore w:val="0"/>
        <w:numPr>
          <w:ilvl w:val="0"/>
          <w:numId w:val="8"/>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szCs w:val="24"/>
          <w:lang w:val="en-US" w:eastAsia="zh-CN"/>
        </w:rPr>
        <w:t>统的重要单元和单元的重要部件采用冗余配置，通过自动切换机制实现故障的迅速隔离和切除，确保系统可用性不受单个故障点的影响。系统的数据采集服务器，数据处理 服务器，数据采集网段/系统数据网段，电源等冗余配置。</w:t>
      </w:r>
    </w:p>
    <w:p>
      <w:pPr>
        <w:pageBreakBefore w:val="0"/>
        <w:numPr>
          <w:ilvl w:val="0"/>
          <w:numId w:val="8"/>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主</w:t>
      </w:r>
      <w:r>
        <w:rPr>
          <w:rFonts w:hint="eastAsia" w:asciiTheme="minorEastAsia" w:hAnsiTheme="minorEastAsia" w:eastAsiaTheme="minorEastAsia" w:cstheme="minorEastAsia"/>
          <w:sz w:val="24"/>
          <w:szCs w:val="24"/>
          <w:lang w:val="en-US" w:eastAsia="zh-CN"/>
        </w:rPr>
        <w:t>要硬件设备符合现代工业制造标准，具有相当的生产历史和稳定的市场份额，均采用国内知名品牌的主流产品。</w:t>
      </w:r>
    </w:p>
    <w:p>
      <w:pPr>
        <w:pageBreakBefore w:val="0"/>
        <w:numPr>
          <w:ilvl w:val="0"/>
          <w:numId w:val="8"/>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szCs w:val="24"/>
          <w:lang w:val="en-US" w:eastAsia="zh-CN"/>
        </w:rPr>
        <w:t>统软件遵循软件工程的开发流程，并有完备的功能测试流程。单个功能模块故障不影响整个系统运行，新增应用功能不影响已有功能的运行。</w:t>
      </w:r>
    </w:p>
    <w:p>
      <w:pPr>
        <w:pageBreakBefore w:val="0"/>
        <w:numPr>
          <w:ilvl w:val="0"/>
          <w:numId w:val="8"/>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不</w:t>
      </w:r>
      <w:r>
        <w:rPr>
          <w:rFonts w:hint="eastAsia" w:asciiTheme="minorEastAsia" w:hAnsiTheme="minorEastAsia" w:eastAsiaTheme="minorEastAsia" w:cstheme="minorEastAsia"/>
          <w:sz w:val="24"/>
          <w:szCs w:val="24"/>
          <w:lang w:val="en-US" w:eastAsia="zh-CN"/>
        </w:rPr>
        <w:t>同厂家的软、硬件产品遵循共同的国际/国内标准，以保证软件模块能一起可靠地协调工作。</w:t>
      </w:r>
    </w:p>
    <w:p>
      <w:pPr>
        <w:pStyle w:val="3"/>
        <w:pageBreakBefore w:val="0"/>
        <w:kinsoku/>
        <w:overflowPunct/>
        <w:topLinePunct w:val="0"/>
        <w:bidi w:val="0"/>
        <w:spacing w:line="360" w:lineRule="auto"/>
        <w:ind w:left="575" w:leftChars="0" w:hanging="575" w:firstLineChars="0"/>
        <w:rPr>
          <w:rFonts w:hint="eastAsia"/>
          <w:b/>
          <w:bCs w:val="0"/>
        </w:rPr>
      </w:pPr>
      <w:bookmarkStart w:id="101" w:name="_Toc6228"/>
      <w:bookmarkStart w:id="102" w:name="_Toc16163"/>
      <w:bookmarkStart w:id="103" w:name="_Toc13942"/>
      <w:r>
        <w:rPr>
          <w:rFonts w:hint="eastAsia"/>
          <w:b/>
          <w:bCs w:val="0"/>
        </w:rPr>
        <w:t>架构设计</w:t>
      </w:r>
      <w:bookmarkEnd w:id="101"/>
      <w:bookmarkEnd w:id="102"/>
      <w:bookmarkEnd w:id="103"/>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采用服务器公网部署的方案，系统部署到公共云，企业能耗数据通过一体化装置接入能耗管控平台，企业无需采购服务器等IT设备，减少项目投资。整体架构设计依据可行性、可靠性、可扩展等原则，从云计算角度出发，满足能耗管理和互联网大数管控要求。系统平台拓扑图如下：</w:t>
      </w:r>
    </w:p>
    <w:p>
      <w:pPr>
        <w:pageBreakBefore w:val="0"/>
        <w:kinsoku/>
        <w:overflowPunct/>
        <w:topLinePunct w:val="0"/>
        <w:bidi w:val="0"/>
        <w:spacing w:line="360" w:lineRule="auto"/>
        <w:jc w:val="center"/>
      </w:pPr>
      <w:r>
        <w:drawing>
          <wp:inline distT="0" distB="0" distL="114300" distR="114300">
            <wp:extent cx="5074285" cy="3390900"/>
            <wp:effectExtent l="0" t="0" r="0" b="0"/>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8"/>
                    <a:stretch>
                      <a:fillRect/>
                    </a:stretch>
                  </pic:blipFill>
                  <pic:spPr>
                    <a:xfrm>
                      <a:off x="0" y="0"/>
                      <a:ext cx="5074285" cy="3390900"/>
                    </a:xfrm>
                    <a:prstGeom prst="rect">
                      <a:avLst/>
                    </a:prstGeom>
                  </pic:spPr>
                </pic:pic>
              </a:graphicData>
            </a:graphic>
          </wp:inline>
        </w:drawing>
      </w:r>
    </w:p>
    <w:p>
      <w:pPr>
        <w:pStyle w:val="11"/>
        <w:pageBreakBefore w:val="0"/>
        <w:kinsoku/>
        <w:overflowPunct/>
        <w:topLinePunct w:val="0"/>
        <w:bidi w:val="0"/>
        <w:spacing w:line="360" w:lineRule="auto"/>
        <w:ind w:firstLine="0" w:firstLineChars="0"/>
        <w:jc w:val="center"/>
      </w:pPr>
      <w:r>
        <w:t>图2</w:t>
      </w:r>
      <w:r>
        <w:rPr>
          <w:rFonts w:hint="eastAsia"/>
        </w:rPr>
        <w:t>-</w:t>
      </w:r>
      <w:r>
        <w:t xml:space="preserve">1  </w:t>
      </w:r>
      <w:r>
        <w:rPr>
          <w:rFonts w:hint="eastAsia"/>
        </w:rPr>
        <w:t>系统平台拓扑图</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04" w:name="_Toc3363"/>
      <w:bookmarkStart w:id="105" w:name="_Toc14546"/>
      <w:bookmarkStart w:id="106" w:name="_Toc25537"/>
      <w:r>
        <w:rPr>
          <w:rFonts w:hint="eastAsia"/>
          <w:lang w:val="en-US" w:eastAsia="zh-CN"/>
        </w:rPr>
        <w:t>网络拓扑图</w:t>
      </w:r>
      <w:bookmarkEnd w:id="104"/>
      <w:bookmarkEnd w:id="105"/>
      <w:bookmarkEnd w:id="106"/>
    </w:p>
    <w:p>
      <w:pPr>
        <w:pageBreakBefore w:val="0"/>
        <w:kinsoku/>
        <w:overflowPunct/>
        <w:topLinePunct w:val="0"/>
        <w:bidi w:val="0"/>
        <w:spacing w:line="360" w:lineRule="auto"/>
        <w:ind w:firstLine="465"/>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系统由平台、网络、管理单元、一体化装置、计量设备五个部分组成。计量设备指电、水、气、热等计量仪表。数据一体化装置指数据采集设备。网络分为上行网络通道与下行网络通道。本系统的拓扑图如下：</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4359910" cy="7475220"/>
            <wp:effectExtent l="0" t="0" r="8890" b="3810"/>
            <wp:docPr id="1" name="图片 1" descr="067a8629f2bf3c595add4d8fe788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7a8629f2bf3c595add4d8fe78838e"/>
                    <pic:cNvPicPr>
                      <a:picLocks noChangeAspect="1"/>
                    </pic:cNvPicPr>
                  </pic:nvPicPr>
                  <pic:blipFill>
                    <a:blip r:embed="rId9"/>
                    <a:srcRect l="12103" t="4037" r="15405" b="4549"/>
                    <a:stretch>
                      <a:fillRect/>
                    </a:stretch>
                  </pic:blipFill>
                  <pic:spPr>
                    <a:xfrm>
                      <a:off x="0" y="0"/>
                      <a:ext cx="4360333" cy="7475354"/>
                    </a:xfrm>
                    <a:prstGeom prst="rect">
                      <a:avLst/>
                    </a:prstGeom>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图2</w:t>
      </w:r>
      <w:r>
        <w:rPr>
          <w:rFonts w:hint="eastAsia"/>
        </w:rPr>
        <w:t>-</w:t>
      </w:r>
      <w:r>
        <w:t xml:space="preserve">2  </w:t>
      </w:r>
      <w:r>
        <w:rPr>
          <w:rFonts w:hint="eastAsia"/>
        </w:rPr>
        <w:t>网络拓扑图</w:t>
      </w:r>
    </w:p>
    <w:p>
      <w:pPr>
        <w:pStyle w:val="12"/>
        <w:pageBreakBefore w:val="0"/>
        <w:kinsoku/>
        <w:overflowPunct/>
        <w:topLinePunct w:val="0"/>
        <w:bidi w:val="0"/>
        <w:spacing w:line="360" w:lineRule="auto"/>
        <w:rPr>
          <w:rFonts w:asciiTheme="minorEastAsia" w:hAnsiTheme="minorEastAsia" w:eastAsiaTheme="minorEastAsia" w:cstheme="minorEastAsia"/>
          <w:sz w:val="24"/>
        </w:rPr>
      </w:pPr>
    </w:p>
    <w:p>
      <w:pPr>
        <w:pStyle w:val="12"/>
        <w:pageBreakBefore w:val="0"/>
        <w:kinsoku/>
        <w:overflowPunct/>
        <w:topLinePunct w:val="0"/>
        <w:bidi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说明如下：</w:t>
      </w:r>
    </w:p>
    <w:p>
      <w:pPr>
        <w:pStyle w:val="12"/>
        <w:pageBreakBefore w:val="0"/>
        <w:numPr>
          <w:ilvl w:val="0"/>
          <w:numId w:val="9"/>
        </w:numPr>
        <w:kinsoku/>
        <w:overflowPunct/>
        <w:topLinePunct w:val="0"/>
        <w:bidi w:val="0"/>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kern w:val="2"/>
          <w:sz w:val="24"/>
          <w:szCs w:val="24"/>
          <w:lang w:val="en-US" w:eastAsia="zh-CN" w:bidi="ar-SA"/>
        </w:rPr>
        <w:t>统结构由计量设备、一体化装置、通信信道、平台等四部分组成。</w:t>
      </w:r>
    </w:p>
    <w:p>
      <w:pPr>
        <w:pStyle w:val="12"/>
        <w:pageBreakBefore w:val="0"/>
        <w:numPr>
          <w:ilvl w:val="0"/>
          <w:numId w:val="9"/>
        </w:numPr>
        <w:kinsoku/>
        <w:overflowPunct/>
        <w:topLinePunct w:val="0"/>
        <w:bidi w:val="0"/>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rPr>
        <w:t>通</w:t>
      </w:r>
      <w:r>
        <w:rPr>
          <w:rFonts w:hint="eastAsia" w:asciiTheme="minorEastAsia" w:hAnsiTheme="minorEastAsia" w:eastAsiaTheme="minorEastAsia" w:cstheme="minorEastAsia"/>
          <w:kern w:val="2"/>
          <w:sz w:val="24"/>
          <w:szCs w:val="24"/>
          <w:lang w:val="en-US" w:eastAsia="zh-CN" w:bidi="ar-SA"/>
        </w:rPr>
        <w:t>信信道是指平台与一体化装置的通信，平台和一体化装置之间支持4G、GPRS等网络。</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平台由采集服务器、数据库服务器、网络交换机、公网固定IP地址等组成。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数据采集层—主要通过水表、电表、天然气表、热量表等获取各回路的能耗参数等能源信息，通过RS485通讯按固定周期采集一条数据，并通过TCP/IP的方式，将能耗数据上传至能源管理品台；</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数据存储层—主要负责对能耗数据进行汇总、统计、分析、处理和存储；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数据展示层—主要对存储层中的能耗数据进行展示和发布。</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07" w:name="_Toc23663"/>
      <w:bookmarkStart w:id="108" w:name="_Toc23304"/>
      <w:bookmarkStart w:id="109" w:name="_Toc29481"/>
      <w:r>
        <w:rPr>
          <w:rFonts w:hint="eastAsia"/>
          <w:lang w:val="en-US" w:eastAsia="zh-CN"/>
        </w:rPr>
        <w:t>系统架构</w:t>
      </w:r>
      <w:bookmarkEnd w:id="107"/>
      <w:bookmarkEnd w:id="108"/>
      <w:bookmarkEnd w:id="109"/>
    </w:p>
    <w:p>
      <w:pPr>
        <w:pageBreakBefore w:val="0"/>
        <w:kinsoku/>
        <w:overflowPunct/>
        <w:topLinePunct w:val="0"/>
        <w:bidi w:val="0"/>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在监测中心建立一套能源监管平台，监测重点用能企业能耗情况，同时，各重点耗能企业也可借助此系统来监测本企业的能耗情况，掌握重点用能设备能源消耗情况。</w:t>
      </w:r>
    </w:p>
    <w:p>
      <w:pPr>
        <w:pageBreakBefore w:val="0"/>
        <w:kinsoku/>
        <w:overflowPunct/>
        <w:topLinePunct w:val="0"/>
        <w:bidi w:val="0"/>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用户分为平台用户和管理单元，总体功能架构如下图：</w:t>
      </w:r>
    </w:p>
    <w:p>
      <w:pPr>
        <w:pStyle w:val="12"/>
        <w:pageBreakBefore w:val="0"/>
        <w:kinsoku/>
        <w:overflowPunct/>
        <w:topLinePunct w:val="0"/>
        <w:bidi w:val="0"/>
        <w:spacing w:line="360" w:lineRule="auto"/>
        <w:jc w:val="center"/>
        <w:rPr>
          <w:rFonts w:asciiTheme="minorEastAsia" w:hAnsiTheme="minorEastAsia" w:eastAsiaTheme="minorEastAsia" w:cstheme="minorEastAsia"/>
          <w:sz w:val="24"/>
        </w:rPr>
      </w:pPr>
      <w:r>
        <w:drawing>
          <wp:inline distT="0" distB="0" distL="0" distR="0">
            <wp:extent cx="5346065" cy="4895215"/>
            <wp:effectExtent l="0" t="0" r="698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46065" cy="4895215"/>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图2</w:t>
      </w:r>
      <w:r>
        <w:rPr>
          <w:rFonts w:hint="eastAsia"/>
        </w:rPr>
        <w:t>-</w:t>
      </w:r>
      <w:r>
        <w:t xml:space="preserve">3  </w:t>
      </w:r>
      <w:r>
        <w:rPr>
          <w:rFonts w:hint="eastAsia"/>
        </w:rPr>
        <w:t>系统架构图</w:t>
      </w:r>
    </w:p>
    <w:p>
      <w:pPr>
        <w:pStyle w:val="5"/>
        <w:pageBreakBefore w:val="0"/>
        <w:kinsoku/>
        <w:overflowPunct/>
        <w:topLinePunct w:val="0"/>
        <w:bidi w:val="0"/>
        <w:spacing w:line="360" w:lineRule="auto"/>
        <w:ind w:left="864" w:leftChars="0" w:hanging="864" w:firstLineChars="0"/>
        <w:rPr>
          <w:rFonts w:hint="eastAsia"/>
        </w:rPr>
      </w:pPr>
      <w:r>
        <w:rPr>
          <w:rFonts w:hint="eastAsia"/>
        </w:rPr>
        <w:t>基础层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主要包括网络系统、服务器、数据采集器、存储设备、安全系统、配套的软件等。网络系统分为业务内网、业务外网和互联网。业务内网与业务外网物理隔离，互联网与业务外网通过防火墙配置实现逻辑隔离。</w:t>
      </w:r>
    </w:p>
    <w:p>
      <w:pPr>
        <w:pStyle w:val="5"/>
        <w:pageBreakBefore w:val="0"/>
        <w:kinsoku/>
        <w:overflowPunct/>
        <w:topLinePunct w:val="0"/>
        <w:bidi w:val="0"/>
        <w:spacing w:line="360" w:lineRule="auto"/>
        <w:ind w:left="864" w:leftChars="0" w:hanging="864" w:firstLineChars="0"/>
        <w:rPr>
          <w:rFonts w:hint="eastAsia"/>
        </w:rPr>
      </w:pPr>
      <w:r>
        <w:rPr>
          <w:rFonts w:hint="eastAsia"/>
        </w:rPr>
        <w:t>数据层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数据采集层的主要功能是一体化装置对各种计量仪表的数据进行采集，并以TCP/IP的方式向上传输到能耗监测平台。</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数据采集采取定时自动模式，可根据设定的采集间隔自动进行数据采集和存储。数据采集采取了多种系统安全性措施，如上层网络状态的侦测，下层仪表设备的故障判断与定位等。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上传采用采用XML文件加密上传的方式，定时主动往中心服务器传输能耗数据。当网络出现临时故障时，一体化装置自身提供不少于7天的临时数据存储空间，并在网络再次恢复时，主动把未上传的数据传输到中心服务器，保证能耗数据的完整性。</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整体结构上划分，将数据资源分为基础的结构型资源和非结构型资源，其中结构化数据库主要包括系统基础数据，设备档案，业务处理数据等。非结构数据库主要是由一些文件型的数据构成。对于非结构型资源我们将通过基础内容管理平台进行有效的管理维护，从而供用户有效的查询浏览；对于结构型数据，我们进行了有效的分类。通过对资源库的有效分类，建立完善的元数据管理规范，从而更加合理有效的实现资源的共享机制。</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分布式网络通信平台，设置一个能源管理中心，各企业不再独立设置能源管理中心，全部数据都上传至统一的能源管理中心，基于这样一个网络结构，切实保障性能效率的前提下，设计如图所示数据平台：</w:t>
      </w:r>
    </w:p>
    <w:p>
      <w:pPr>
        <w:pStyle w:val="11"/>
        <w:pageBreakBefore w:val="0"/>
        <w:kinsoku/>
        <w:overflowPunct/>
        <w:topLinePunct w:val="0"/>
        <w:bidi w:val="0"/>
        <w:spacing w:line="360" w:lineRule="auto"/>
        <w:ind w:leftChars="-200" w:hanging="420" w:hangingChars="175"/>
        <w:jc w:val="center"/>
        <w:rPr>
          <w:rFonts w:ascii="宋体" w:hAnsi="宋体" w:eastAsia="宋体"/>
          <w:sz w:val="24"/>
        </w:rPr>
      </w:pPr>
      <w:r>
        <w:rPr>
          <w:rFonts w:hint="eastAsia" w:ascii="宋体" w:hAnsi="宋体"/>
          <w:sz w:val="24"/>
        </w:rPr>
        <w:object>
          <v:shape id="_x0000_i1025" o:spt="75" type="#_x0000_t75" style="height:216pt;width:468.6pt;" o:ole="t" filled="f" o:preferrelative="t" stroked="f" coordsize="21600,21600">
            <v:path/>
            <v:fill on="f" focussize="0,0"/>
            <v:stroke on="f" joinstyle="miter"/>
            <v:imagedata r:id="rId11" cropbottom="29759f" o:title=""/>
            <o:lock v:ext="edit" aspectratio="t"/>
            <w10:wrap type="none"/>
            <w10:anchorlock/>
          </v:shape>
          <o:OLEObject Type="Embed" ProgID="Visio.Drawing.11" ShapeID="_x0000_i1025" DrawAspect="Content" ObjectID="_1468075725">
            <o:LockedField>false</o:LockedField>
          </o:OLEObject>
        </w:object>
      </w:r>
      <w:r>
        <w:t>图</w:t>
      </w:r>
      <w:r>
        <w:rPr>
          <w:rFonts w:hint="eastAsia"/>
        </w:rPr>
        <w:t>2-</w:t>
      </w:r>
      <w:r>
        <w:t xml:space="preserve">4  </w:t>
      </w:r>
      <w:r>
        <w:rPr>
          <w:rFonts w:hint="eastAsia"/>
        </w:rPr>
        <w:t>数据存储层结构</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存储区”中存储的是按照数据抽取频率，把原始采集数据与区域基础信息、设备基础信息、报警规则信息结合处理后，形成系统实时监测、明细查询、报警提示所需要的原始明细数据。这样各类数据的大批量加工即可不影响实时的数据采集，而只是在数据库上进行处理，同时也为各类明细查询显示提供数据源。其物理结构与原始采集数据库有所不同，增加了明细查询所需的内容。</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台分析数据库”中存储的是按照数据抽取频率，把数据存储区的基础数据按照统计、分析、比较功能的要求进行不同时间段的分类、汇总和折算。这样提高整个系统的运行效率，最大化缩短系统的响应时间。这样各类数据的大批量加工不会影响到节能监管平台系统的查询响应速度，只是在数据库内进行处理，处理后的结果可以让系统根据用户的需求直接进行调用，大大减少系统页面功能的计算工作量，提高整个系统的运行效率，最大化缩短系统的响应时间。</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数据安全规划：</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系统的安全保证至关重要，是设计方案中的重要内容。对于数据层来说，主要是如何在应用层和系统层对数据库系统及内部数据提供有效的保护策略。这在本系统中是通过统一的安全体系予以保证的，下面列出的是一些保护要求，具体规划内容可参见系统安全体系章节。</w:t>
      </w:r>
    </w:p>
    <w:p>
      <w:pPr>
        <w:pageBreakBefore w:val="0"/>
        <w:widowControl/>
        <w:kinsoku/>
        <w:wordWrap w:val="0"/>
        <w:overflowPunct/>
        <w:topLinePunct w:val="0"/>
        <w:bidi w:val="0"/>
        <w:adjustRightInd w:val="0"/>
        <w:snapToGrid w:val="0"/>
        <w:spacing w:line="360" w:lineRule="auto"/>
        <w:ind w:firstLine="420"/>
        <w:jc w:val="left"/>
        <w:rPr>
          <w:rFonts w:ascii="宋体" w:hAnsi="宋体" w:cs="宋体"/>
          <w:kern w:val="0"/>
          <w:sz w:val="24"/>
        </w:rPr>
      </w:pPr>
      <w:r>
        <w:rPr>
          <w:rFonts w:hint="eastAsia" w:ascii="宋体" w:hAnsi="宋体" w:cs="宋体"/>
          <w:kern w:val="0"/>
          <w:sz w:val="24"/>
        </w:rPr>
        <w:t>A．数据安全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上线后，必须采取一切手段对数据安全加以保护。从结构层必须严格各种数据的分级归属；从应用层必须贯彻严格的权限管理、身份审查、逻辑审查和安全审查；维护管理操作必须严格遵循分级制度；此外通过采用数据库级和应用级的审计、备份管理，对非法操作实时监控，对数据进行多重保护。</w:t>
      </w:r>
    </w:p>
    <w:p>
      <w:pPr>
        <w:pageBreakBefore w:val="0"/>
        <w:widowControl/>
        <w:kinsoku/>
        <w:wordWrap w:val="0"/>
        <w:overflowPunct/>
        <w:topLinePunct w:val="0"/>
        <w:bidi w:val="0"/>
        <w:adjustRightInd w:val="0"/>
        <w:snapToGrid w:val="0"/>
        <w:spacing w:line="360" w:lineRule="auto"/>
        <w:ind w:firstLine="420"/>
        <w:jc w:val="left"/>
        <w:rPr>
          <w:rFonts w:ascii="宋体" w:hAnsi="宋体" w:cs="宋体"/>
          <w:kern w:val="0"/>
          <w:sz w:val="24"/>
        </w:rPr>
      </w:pPr>
      <w:r>
        <w:rPr>
          <w:rFonts w:hint="eastAsia" w:ascii="宋体" w:hAnsi="宋体" w:cs="宋体"/>
          <w:kern w:val="0"/>
          <w:sz w:val="24"/>
        </w:rPr>
        <w:t>B．系统安全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周详的系统安全方案加以避免数据单点故障的风险。同时集中模式减少了分布点、降低了安全方案的整体成本和复杂度，反而更加便于实现和管理。对于数据库系统安全方案而言，其主要内容在于监控、配置管理、备份与恢复，这些是数据可持续正常运行的基本保障。</w:t>
      </w:r>
    </w:p>
    <w:p>
      <w:pPr>
        <w:pageBreakBefore w:val="0"/>
        <w:widowControl/>
        <w:kinsoku/>
        <w:wordWrap w:val="0"/>
        <w:overflowPunct/>
        <w:topLinePunct w:val="0"/>
        <w:bidi w:val="0"/>
        <w:adjustRightInd w:val="0"/>
        <w:snapToGrid w:val="0"/>
        <w:spacing w:line="360" w:lineRule="auto"/>
        <w:ind w:firstLine="420"/>
        <w:jc w:val="left"/>
        <w:rPr>
          <w:rFonts w:ascii="宋体" w:hAnsi="宋体" w:cs="宋体"/>
          <w:kern w:val="0"/>
          <w:sz w:val="24"/>
        </w:rPr>
      </w:pPr>
      <w:r>
        <w:rPr>
          <w:rFonts w:hint="eastAsia" w:ascii="宋体" w:hAnsi="宋体" w:cs="宋体"/>
          <w:kern w:val="0"/>
          <w:sz w:val="24"/>
        </w:rPr>
        <w:t>C．安全保证措施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数据库的安全保证采用多种方式和手段，主要有如下几种：</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数据库集群技术：采用双机热备方式，当其中一台主机由于意外情况停止服务时，另一台主机主动会服务请求，避免服务中断的情况发生。此种模式不能解决数据库系统发生物理损坏情况下的系统恢复。</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硬件镜像：在数据存储硬件层，通过硬件镜像技术，实时地将数据库资料同时写入到两套存储硬件中。此种方式最大的优点就是处理速度快，便于保证应用系统的连续运行；其缺点是投入成本较高，另外当主数据库的数据存储发生错误时，错误内容也会被复制到镜像系统中。</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理备份与恢复：采用数据库系统提供的物理备份恢复软件，结合数据库的日志体系，对数据库内容实现物理层面的完整备份和提供丰富的整体或局部数据恢复方式。此种方式性价比较高，但需要有专用的存储系统提供支持。</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逻辑备份与恢复：采用数据库系统提供的逻辑备份与恢复软件，对数据库进行指定时间点的完整或局部的备份和恢复操作，此种方式最简单易行，但效率和数据的完整性无法得到很好的保证。</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系统核心数据将同时采用多种安全保障措施，包括双机热备的数据库服务器集群方式，解决数据库服务器的单点故障问题。</w:t>
      </w:r>
    </w:p>
    <w:p>
      <w:pPr>
        <w:pStyle w:val="5"/>
        <w:pageBreakBefore w:val="0"/>
        <w:kinsoku/>
        <w:overflowPunct/>
        <w:topLinePunct w:val="0"/>
        <w:bidi w:val="0"/>
        <w:spacing w:line="360" w:lineRule="auto"/>
        <w:ind w:left="864" w:leftChars="0" w:hanging="864" w:firstLineChars="0"/>
        <w:rPr>
          <w:rFonts w:hint="eastAsia"/>
        </w:rPr>
      </w:pPr>
      <w:r>
        <w:rPr>
          <w:rFonts w:hint="eastAsia"/>
        </w:rPr>
        <w:t>应用管理层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主要包括应用开发平台 （能耗采集系统、售电预测系统、能耗管理系统、需求侧管理系统、综合服务APP）和中间件（应用服务器、消息中间件、WEB服务器）。通过建设应用支撑平台，实现界面集成、应用集成、数据集成及流程集成，通过四个集成来达到所有系统的集成效果。各个功能模块完成系统对应的业务需求处理，将基础数据处理成业务数据，是整个系统的业务处理中心。</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对经过数据处理后的分类分项能耗数据进行分析汇总和整合，通过静态表格和动态图表方式将能耗数据展示出来，为节能运行、节能改造、信息服务和制定政策提供信息服务。</w:t>
      </w:r>
    </w:p>
    <w:p>
      <w:pPr>
        <w:pStyle w:val="5"/>
        <w:pageBreakBefore w:val="0"/>
        <w:kinsoku/>
        <w:overflowPunct/>
        <w:topLinePunct w:val="0"/>
        <w:bidi w:val="0"/>
        <w:spacing w:line="360" w:lineRule="auto"/>
        <w:ind w:left="864" w:leftChars="0" w:hanging="864" w:firstLineChars="0"/>
        <w:rPr>
          <w:rFonts w:hint="eastAsia"/>
        </w:rPr>
      </w:pPr>
      <w:r>
        <w:rPr>
          <w:rFonts w:hint="eastAsia"/>
        </w:rPr>
        <w:t>展现层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浏览、移动设备与用户交互，完成数据的可视化、动态化、交互处理。整体应用功能将通过门户方式进行展现，架构分别设计了内网门户和外网门户，不同的应用人员通过登录，可以实现相关系统的应用和资源的浏览查询操作。</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展示层采用B/S软件体系结构，有权限的用户可以直接利用浏览器方式访问系统平台服务器，查看数据报表和图表等信息，操作方便，免安装、维护。</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数据图表是反映各项采集数据和统计数据的数值、趋势和分布情况的直观图形和对应表格，可分为数据透视表、饼图、柱状图、线图等，格式灵活，可交互操作。</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主要功能介绍：</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按不同设备类型、车间和客户委托方式实现的能源分项计量系统，其上层的分析展示层基本功能如下；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度量值一般包括：总能耗、单位能耗、单位面积能耗和其他度量值（比如单位人均能耗等）；展示维度一般包括：能耗分项、时间轴细分为逐日、逐周、逐月、逐年、任选时间段等。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能趋势：显示各区域的历史用能情况曲线。通过再现的曲线，用户可以掌握每个车间，每种能源品种，每个用能系统的用能规律；找出用能不合理的地方。用户可以选择在同一图表中分析一车间的多种能源品种，或分析一区域多个用能系统的用能情况；也可以显示多区域某种能源品种或某个系统的用能情况。用户选择的每种情况都可以对显示的是人均能耗值、单位面积能耗值或总能耗值进行选择。此项功能以曲线图的方式进行展示。</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分析比较：分析主要耗能设备的用电情况； 分析电能浪费的漏洞；验证通过节能改造而降低的能耗的效果；单体建筑内不同用电设备的分项消耗电能纵向比较；也可以和同类建筑进行横向用电比较，发现问题及时解决；</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目标管理：调整动态负荷，用科学系统的管理手段提升由于管理不到位引起的耗能问题；对厂区的各类供电负荷制定用电指标，提高能源使用效率；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优化运行：通过对设备系统功耗的实时、有效的长期分析总结，找出系统结构形式和设计不合理，运行调节策略不当，设备没有工作在最佳工况点、设备已存在老化等各类非正常耗电原因，合理应对加以改造，加快实现建筑节能目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节能评估：当用电设备实施了节能改造，可以验证节能技术以及改造的实际效果，明确节约的能源量。</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ascii="宋体" w:hAnsi="宋体" w:cs="宋体"/>
          <w:kern w:val="0"/>
          <w:sz w:val="24"/>
        </w:rPr>
      </w:pPr>
      <w:r>
        <w:rPr>
          <w:rFonts w:hint="eastAsia" w:asciiTheme="minorEastAsia" w:hAnsiTheme="minorEastAsia" w:eastAsiaTheme="minorEastAsia" w:cstheme="minorEastAsia"/>
          <w:sz w:val="24"/>
          <w:szCs w:val="24"/>
          <w:lang w:val="en-US" w:eastAsia="zh-CN"/>
        </w:rPr>
        <w:t>统计报表：根据用户需要自由选取定义统计项目，由软件自带的运算工具统计汇总，并根据用户要求以相应的图表形式输出；同时具有查询、修改数据的功能。</w:t>
      </w:r>
      <w:r>
        <w:rPr>
          <w:rFonts w:ascii="宋体" w:hAnsi="宋体"/>
          <w:sz w:val="24"/>
        </w:rPr>
        <w:br w:type="page"/>
      </w:r>
    </w:p>
    <w:p>
      <w:pPr>
        <w:pStyle w:val="2"/>
        <w:pageBreakBefore w:val="0"/>
        <w:kinsoku/>
        <w:overflowPunct/>
        <w:topLinePunct w:val="0"/>
        <w:bidi w:val="0"/>
        <w:spacing w:line="360" w:lineRule="auto"/>
        <w:ind w:left="432" w:leftChars="0" w:hanging="432" w:firstLineChars="0"/>
        <w:jc w:val="center"/>
        <w:rPr>
          <w:rFonts w:hint="eastAsia"/>
          <w:lang w:val="en-US" w:eastAsia="zh-CN"/>
        </w:rPr>
      </w:pPr>
      <w:bookmarkStart w:id="110" w:name="_Toc9223"/>
      <w:bookmarkStart w:id="111" w:name="_Toc23320"/>
      <w:bookmarkStart w:id="112" w:name="_Toc22022"/>
      <w:r>
        <w:rPr>
          <w:rFonts w:hint="eastAsia"/>
          <w:lang w:val="en-US" w:eastAsia="zh-CN"/>
        </w:rPr>
        <w:t>系统软硬件技术方案</w:t>
      </w:r>
      <w:bookmarkEnd w:id="110"/>
      <w:bookmarkEnd w:id="111"/>
      <w:bookmarkEnd w:id="112"/>
    </w:p>
    <w:p>
      <w:pPr>
        <w:pStyle w:val="3"/>
        <w:pageBreakBefore w:val="0"/>
        <w:kinsoku/>
        <w:overflowPunct/>
        <w:topLinePunct w:val="0"/>
        <w:bidi w:val="0"/>
        <w:spacing w:line="360" w:lineRule="auto"/>
        <w:ind w:left="575" w:leftChars="0" w:hanging="575" w:firstLineChars="0"/>
        <w:rPr>
          <w:rFonts w:hint="eastAsia"/>
          <w:b/>
          <w:bCs w:val="0"/>
        </w:rPr>
      </w:pPr>
      <w:bookmarkStart w:id="113" w:name="_Toc18960"/>
      <w:bookmarkStart w:id="114" w:name="_Toc4129"/>
      <w:bookmarkStart w:id="115" w:name="_Toc13666"/>
      <w:r>
        <w:rPr>
          <w:rFonts w:hint="eastAsia"/>
          <w:b/>
          <w:bCs w:val="0"/>
          <w:lang w:eastAsia="zh-CN"/>
        </w:rPr>
        <w:t>企业能耗监测系统</w:t>
      </w:r>
      <w:r>
        <w:rPr>
          <w:rFonts w:hint="eastAsia"/>
          <w:b/>
          <w:bCs w:val="0"/>
        </w:rPr>
        <w:t>系统</w:t>
      </w:r>
      <w:bookmarkEnd w:id="113"/>
      <w:bookmarkEnd w:id="114"/>
      <w:bookmarkEnd w:id="115"/>
    </w:p>
    <w:p>
      <w:pPr>
        <w:pStyle w:val="4"/>
        <w:pageBreakBefore w:val="0"/>
        <w:kinsoku/>
        <w:overflowPunct/>
        <w:topLinePunct w:val="0"/>
        <w:bidi w:val="0"/>
        <w:spacing w:line="360" w:lineRule="auto"/>
        <w:ind w:left="720" w:leftChars="0" w:hanging="720" w:firstLineChars="0"/>
        <w:rPr>
          <w:rFonts w:hint="eastAsia"/>
          <w:lang w:val="en-US" w:eastAsia="zh-CN"/>
        </w:rPr>
      </w:pPr>
      <w:bookmarkStart w:id="116" w:name="_Toc3562"/>
      <w:bookmarkStart w:id="117" w:name="_Toc25874"/>
      <w:bookmarkStart w:id="118" w:name="_Toc14819"/>
      <w:r>
        <w:rPr>
          <w:rFonts w:hint="eastAsia"/>
          <w:lang w:val="en-US" w:eastAsia="zh-CN"/>
        </w:rPr>
        <w:t>风险管理</w:t>
      </w:r>
      <w:bookmarkEnd w:id="116"/>
      <w:bookmarkEnd w:id="117"/>
      <w:bookmarkEnd w:id="118"/>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力市场环境下,电量和电价的不确定性为市场风险的最终表现形式，在企业运营过程中其可能存在的政策风险,运营风险和运行风险，三种风险是相互影响和制约的，借鉴金融领域的现代投资组合理论,建立了基于效用函数和VaR(ValueatRisk)的电网公司考虑直购电的风险控制和评估模型,提出了转运因子的概念，算例结果表明,该模型能够有效地反映在直购电过程中电网公司所面临的市场风险的本质,同时转运因子的提出则为电网公司提供了一个量化直购电风险的工具,指出其在通过合理风险控制办法的同时可由直购电而获利，给出了电网公司的总体风险管理框架,该框架能够帮助其达到利润最大化和风险最小化的市场交易目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2007年底，国家电力监管委员会公布的《中国电力工业市场化改革的问题及展望》明确表明允许企业和配电企业向发电企业直接购电是我国电力市场化建设的主要方向。</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企业直接购电的实施打破了PGC作为“单一购买者” 的垄断局面，企业可以通过长期合同市场、现货市场向发电企业或PGC购买电能，同时也意味着独立发电企业在接受用户选择的同时也获得了选择用户的权利。随着我国电力市场改革进程的逐渐发展，尤其是允许企业直购电之后，PGC的运营将面临着前所未有的风险，如何明确直购电所导致的PGC运营风险是十分迫切且重要的。</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以现代投资组合理论及相应的风险评估方法—CVaR为基础，构建PGC的风险控制管理策略，以此来帮助PGC实现其利润最大化和风险最小化的经营目标。 在电力市场环境下，电能作为一种交易商品，由于其物理特性—不能大量储存且传输受到输电线路输送极限及电网稳定条件的限制，导致了电力市场的特殊性。电能的市场价格相对于其他商品而言波动的异常剧烈，这就意味着风险的存在，风险来源于不确定性，风险与不确定的根本区别在于不确定性无法控制而风险却是可以控制的。</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随着电力市场改革步伐的推进，企业直购电将导致PGC的运行（电力系统）和运营（电力市场）风险，且它们是相互关联、影响的。明确企业直购电给PGC带来的风险，有利于其更好的制定交易策略，规避其交易风险，实现在可接受范围内最大化利润的目标。在保证其运营的“稳定性” 的同时，也有利于电力市场的安全、有效运行。 </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提高电能效率的角度,电网企业在购电侧、售电侧、用户侧所面临的风险, 分析这些风险与电能效率之间的关系, 持久性区间利用分形插值算法进行了短期负荷预测。运用分形理论中的重标极差分析方法构造了电力负荷分析模型,揭示了负荷波动变化的持久性,表现出了隐藏于随机性之后的有序性,进而实现高精度的日电力负荷预测。</w:t>
      </w:r>
    </w:p>
    <w:p>
      <w:pPr>
        <w:pStyle w:val="5"/>
        <w:pageBreakBefore w:val="0"/>
        <w:kinsoku/>
        <w:overflowPunct/>
        <w:topLinePunct w:val="0"/>
        <w:bidi w:val="0"/>
        <w:spacing w:line="360" w:lineRule="auto"/>
        <w:ind w:left="864" w:leftChars="0" w:hanging="864" w:firstLineChars="0"/>
        <w:rPr>
          <w:rFonts w:hint="eastAsia"/>
        </w:rPr>
      </w:pPr>
      <w:r>
        <w:rPr>
          <w:rFonts w:hint="eastAsia"/>
        </w:rPr>
        <w:t>安全风险</w:t>
      </w:r>
    </w:p>
    <w:p>
      <w:pPr>
        <w:pageBreakBefore w:val="0"/>
        <w:kinsoku/>
        <w:overflowPunct/>
        <w:topLinePunct w:val="0"/>
        <w:bidi w:val="0"/>
        <w:spacing w:line="360" w:lineRule="auto"/>
        <w:ind w:firstLine="480"/>
        <w:rPr>
          <w:rFonts w:hint="eastAsia" w:asciiTheme="minorEastAsia" w:hAnsiTheme="minorEastAsia" w:eastAsiaTheme="minorEastAsia" w:cstheme="minorEastAsia"/>
          <w:sz w:val="24"/>
          <w:szCs w:val="24"/>
          <w:lang w:val="en-US" w:eastAsia="zh-CN"/>
        </w:rPr>
      </w:pPr>
      <w:r>
        <w:rPr>
          <w:rFonts w:hint="eastAsia" w:ascii="宋体" w:hAnsi="宋体"/>
          <w:sz w:val="24"/>
        </w:rPr>
        <w:t>(1)</w:t>
      </w:r>
      <w:r>
        <w:rPr>
          <w:rFonts w:hint="eastAsia" w:asciiTheme="minorEastAsia" w:hAnsiTheme="minorEastAsia" w:eastAsiaTheme="minorEastAsia" w:cstheme="minorEastAsia"/>
          <w:sz w:val="24"/>
          <w:szCs w:val="24"/>
          <w:lang w:val="en-US" w:eastAsia="zh-CN"/>
        </w:rPr>
        <w:t>系统平台提供按日分析监测点电压越上限、越上上限、越下限、越下下限、电流越上限、总负荷越上限、功率因数越下限等报警数据。</w:t>
      </w:r>
    </w:p>
    <w:p>
      <w:pPr>
        <w:pageBreakBefore w:val="0"/>
        <w:kinsoku/>
        <w:overflowPunct/>
        <w:topLinePunct w:val="0"/>
        <w:bidi w:val="0"/>
        <w:spacing w:line="360" w:lineRule="auto"/>
        <w:ind w:firstLine="480"/>
        <w:rPr>
          <w:rFonts w:hint="eastAsia" w:asciiTheme="minorEastAsia" w:hAnsiTheme="minorEastAsia" w:eastAsiaTheme="minorEastAsia" w:cstheme="minorEastAsia"/>
          <w:sz w:val="24"/>
          <w:szCs w:val="24"/>
          <w:lang w:val="en-US" w:eastAsia="zh-CN"/>
        </w:rPr>
      </w:pPr>
      <w:r>
        <w:rPr>
          <w:rFonts w:hint="eastAsia" w:ascii="宋体" w:hAnsi="宋体"/>
          <w:sz w:val="24"/>
        </w:rPr>
        <w:t>(2)系</w:t>
      </w:r>
      <w:r>
        <w:rPr>
          <w:rFonts w:hint="eastAsia" w:asciiTheme="minorEastAsia" w:hAnsiTheme="minorEastAsia" w:eastAsiaTheme="minorEastAsia" w:cstheme="minorEastAsia"/>
          <w:sz w:val="24"/>
          <w:szCs w:val="24"/>
          <w:lang w:val="en-US" w:eastAsia="zh-CN"/>
        </w:rPr>
        <w:t>统平台可以按照时段对阀值进行设置，形成阀值折线。负荷曲线连续超越阀值一定周期（滑差时间）时，自动产生告警。</w:t>
      </w:r>
    </w:p>
    <w:p>
      <w:pPr>
        <w:pageBreakBefore w:val="0"/>
        <w:kinsoku/>
        <w:overflowPunct/>
        <w:topLinePunct w:val="0"/>
        <w:bidi w:val="0"/>
        <w:spacing w:line="360" w:lineRule="auto"/>
        <w:ind w:firstLine="480"/>
        <w:rPr>
          <w:rFonts w:hint="eastAsia" w:asciiTheme="minorEastAsia" w:hAnsiTheme="minorEastAsia" w:eastAsiaTheme="minorEastAsia" w:cstheme="minorEastAsia"/>
          <w:sz w:val="24"/>
          <w:szCs w:val="24"/>
          <w:lang w:val="en-US" w:eastAsia="zh-CN"/>
        </w:rPr>
      </w:pPr>
      <w:r>
        <w:rPr>
          <w:rFonts w:hint="eastAsia" w:ascii="宋体" w:hAnsi="宋体"/>
          <w:sz w:val="24"/>
        </w:rPr>
        <w:t>(3)发</w:t>
      </w:r>
      <w:r>
        <w:rPr>
          <w:rFonts w:hint="eastAsia" w:asciiTheme="minorEastAsia" w:hAnsiTheme="minorEastAsia" w:eastAsiaTheme="minorEastAsia" w:cstheme="minorEastAsia"/>
          <w:sz w:val="24"/>
          <w:szCs w:val="24"/>
          <w:lang w:val="en-US" w:eastAsia="zh-CN"/>
        </w:rPr>
        <w:t>现报警时，可以通过系统提供的信息发布功能，及时通知相关责任人进行处理。</w:t>
      </w:r>
    </w:p>
    <w:p>
      <w:pPr>
        <w:pStyle w:val="5"/>
        <w:pageBreakBefore w:val="0"/>
        <w:kinsoku/>
        <w:overflowPunct/>
        <w:topLinePunct w:val="0"/>
        <w:bidi w:val="0"/>
        <w:spacing w:line="360" w:lineRule="auto"/>
        <w:ind w:left="864" w:leftChars="0" w:hanging="864" w:firstLineChars="0"/>
        <w:rPr>
          <w:rFonts w:hint="eastAsia"/>
        </w:rPr>
      </w:pPr>
      <w:r>
        <w:rPr>
          <w:rFonts w:hint="eastAsia"/>
        </w:rPr>
        <w:t>电价风险</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市场电价的不确定性，无论企业参与中长期电力市场还是短期的现货市场，均面临着“高买低卖”的可能性。企业的用电量越大，对价格敏感程度越高，所面临的电价风险越高，同时因为存在“低买高卖”的可能性，从各种市场的价差中获利更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企业的电价风险是基于不同市场或交易间的价差而得以体现的，主要包括以下方面：</w:t>
      </w:r>
    </w:p>
    <w:p>
      <w:pPr>
        <w:pageBreakBefore w:val="0"/>
        <w:numPr>
          <w:ilvl w:val="0"/>
          <w:numId w:val="10"/>
        </w:numPr>
        <w:tabs>
          <w:tab w:val="left" w:pos="640"/>
        </w:tabs>
        <w:kinsoku/>
        <w:overflowPunct/>
        <w:topLinePunct w:val="0"/>
        <w:bidi w:val="0"/>
        <w:spacing w:line="360" w:lineRule="auto"/>
        <w:ind w:left="444" w:leftChars="104" w:hanging="194" w:hangingChars="81"/>
        <w:rPr>
          <w:sz w:val="24"/>
        </w:rPr>
      </w:pPr>
      <w:r>
        <w:rPr>
          <w:rFonts w:hint="eastAsia"/>
          <w:sz w:val="24"/>
        </w:rPr>
        <w:t>双边协议及月度集中竞价市场的价差；</w:t>
      </w:r>
    </w:p>
    <w:p>
      <w:pPr>
        <w:pageBreakBefore w:val="0"/>
        <w:numPr>
          <w:ilvl w:val="0"/>
          <w:numId w:val="10"/>
        </w:numPr>
        <w:tabs>
          <w:tab w:val="left" w:pos="640"/>
        </w:tabs>
        <w:kinsoku/>
        <w:overflowPunct/>
        <w:topLinePunct w:val="0"/>
        <w:bidi w:val="0"/>
        <w:spacing w:line="360" w:lineRule="auto"/>
        <w:ind w:left="444" w:leftChars="104" w:hanging="194" w:hangingChars="81"/>
        <w:rPr>
          <w:sz w:val="24"/>
        </w:rPr>
      </w:pPr>
      <w:r>
        <w:rPr>
          <w:rFonts w:hint="eastAsia"/>
          <w:sz w:val="24"/>
        </w:rPr>
        <w:t>双边协议与日前现货市场的价差；</w:t>
      </w:r>
    </w:p>
    <w:p>
      <w:pPr>
        <w:pageBreakBefore w:val="0"/>
        <w:numPr>
          <w:ilvl w:val="0"/>
          <w:numId w:val="10"/>
        </w:numPr>
        <w:tabs>
          <w:tab w:val="left" w:pos="640"/>
        </w:tabs>
        <w:kinsoku/>
        <w:overflowPunct/>
        <w:topLinePunct w:val="0"/>
        <w:bidi w:val="0"/>
        <w:spacing w:line="360" w:lineRule="auto"/>
        <w:ind w:left="444" w:leftChars="104" w:hanging="194" w:hangingChars="81"/>
        <w:rPr>
          <w:sz w:val="24"/>
        </w:rPr>
      </w:pPr>
      <w:r>
        <w:rPr>
          <w:rFonts w:hint="eastAsia"/>
          <w:sz w:val="24"/>
        </w:rPr>
        <w:t>月度集中竞价市场与日前现货市场的价差。</w:t>
      </w:r>
    </w:p>
    <w:p>
      <w:pPr>
        <w:pStyle w:val="5"/>
        <w:pageBreakBefore w:val="0"/>
        <w:kinsoku/>
        <w:overflowPunct/>
        <w:topLinePunct w:val="0"/>
        <w:bidi w:val="0"/>
        <w:spacing w:line="360" w:lineRule="auto"/>
        <w:ind w:left="864" w:leftChars="0" w:hanging="864" w:firstLineChars="0"/>
        <w:rPr>
          <w:rFonts w:hint="eastAsia"/>
        </w:rPr>
      </w:pPr>
      <w:r>
        <w:rPr>
          <w:rFonts w:hint="eastAsia"/>
        </w:rPr>
        <w:t>电量风险</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非生产用电的不确定性及订单的不确定性，企业在中长期电力市场与现货市场的总购电量与实际用电量存在偏差。按照暂行的广东省电力现货市场的交易规则，偏差部分将会按照实时市场的电价出清，因此偏差电量×（实时市场节点边际电价—min{双边协议电价/月度集中竞价市场电价，日前现货电能量市场电价}）可认为是企业因用电量不确定性而存在的损失或收益。</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当中长期市场价格与现货电能量市场价格相差不大时，从较长时间的尺度而言，电量不确定性所带来的经济风险水平较低。此外，对于订单可预测且较为稳定的工业用户，电量不确定性所带来的经济风险水平较低。</w:t>
      </w:r>
    </w:p>
    <w:p>
      <w:pPr>
        <w:pageBreakBefore w:val="0"/>
        <w:kinsoku/>
        <w:overflowPunct/>
        <w:topLinePunct w:val="0"/>
        <w:bidi w:val="0"/>
        <w:spacing w:line="360" w:lineRule="auto"/>
        <w:ind w:firstLine="480" w:firstLineChars="200"/>
        <w:rPr>
          <w:sz w:val="24"/>
        </w:rPr>
      </w:pPr>
      <w:r>
        <w:rPr>
          <w:rFonts w:hint="eastAsia"/>
          <w:sz w:val="24"/>
        </w:rPr>
        <w:t>（2）</w:t>
      </w:r>
      <w:r>
        <w:rPr>
          <w:rFonts w:hint="eastAsia"/>
          <w:sz w:val="24"/>
          <w:lang w:eastAsia="zh-CN"/>
        </w:rPr>
        <w:t>企业</w:t>
      </w:r>
      <w:r>
        <w:rPr>
          <w:rFonts w:hint="eastAsia"/>
          <w:sz w:val="24"/>
        </w:rPr>
        <w:t>参与多时间尺度电力市场风险</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参与多时间尺度市场的不确定性行为主要有以下两种类型：参与中长期市场时选择双边协议还是集中竞价；计划用电量是否全部在中长期市场购入。而现货市场上企业决策行为的风险及收益本身由其决策的目标函数所表征，因此无需分析现货市场不确定性造成的损失。</w:t>
      </w:r>
    </w:p>
    <w:p>
      <w:pPr>
        <w:pageBreakBefore w:val="0"/>
        <w:kinsoku/>
        <w:overflowPunct/>
        <w:topLinePunct w:val="0"/>
        <w:bidi w:val="0"/>
        <w:spacing w:line="360" w:lineRule="auto"/>
        <w:ind w:firstLine="480" w:firstLineChars="200"/>
        <w:rPr>
          <w:sz w:val="24"/>
        </w:rPr>
      </w:pPr>
      <w:r>
        <w:rPr>
          <w:rFonts w:hint="eastAsia"/>
          <w:sz w:val="24"/>
        </w:rPr>
        <w:t>①</w:t>
      </w:r>
      <w:r>
        <w:rPr>
          <w:rFonts w:hint="eastAsia"/>
          <w:sz w:val="24"/>
          <w:lang w:eastAsia="zh-CN"/>
        </w:rPr>
        <w:t>企业</w:t>
      </w:r>
      <w:r>
        <w:rPr>
          <w:rFonts w:hint="eastAsia"/>
          <w:sz w:val="24"/>
        </w:rPr>
        <w:t>参与中长期电力市场</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参与中长期电力市场，可选择自行签订双边协议或参与集中竞价市场的方式，由于无论参与那种类型的交易，也无论在集中竞价市场的交易标的为何种类型，对于一定的生产量而言，企业生产用电量也是一定的，也就是电商品对于企业生产本身而言是没有时间属性的。</w:t>
      </w:r>
    </w:p>
    <w:p>
      <w:pPr>
        <w:pageBreakBefore w:val="0"/>
        <w:kinsoku/>
        <w:overflowPunct/>
        <w:topLinePunct w:val="0"/>
        <w:bidi w:val="0"/>
        <w:spacing w:line="360" w:lineRule="auto"/>
        <w:ind w:firstLine="480" w:firstLineChars="200"/>
        <w:rPr>
          <w:sz w:val="24"/>
        </w:rPr>
      </w:pPr>
      <w:r>
        <w:rPr>
          <w:rFonts w:hint="eastAsia"/>
          <w:sz w:val="24"/>
        </w:rPr>
        <w:t>②</w:t>
      </w:r>
      <w:r>
        <w:rPr>
          <w:rFonts w:hint="eastAsia"/>
          <w:sz w:val="24"/>
          <w:lang w:eastAsia="zh-CN"/>
        </w:rPr>
        <w:t>企业</w:t>
      </w:r>
      <w:r>
        <w:rPr>
          <w:rFonts w:hint="eastAsia"/>
          <w:sz w:val="24"/>
        </w:rPr>
        <w:t>同时参与中长期市场与现货市场</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对参与两者市场的决策主要存在的风险在于两者市场平均价格不同，单独参与其中一种市场面临的风险可能性较大，且损失较多。企业同时参与中长期市场及现货市场可能是一种较为合理的风险对冲方式，分析企业同时参与中长期市场与现货市场的风险适用于以下情况：</w:t>
      </w:r>
    </w:p>
    <w:p>
      <w:pPr>
        <w:keepNext w:val="0"/>
        <w:keepLines w:val="0"/>
        <w:pageBreakBefore w:val="0"/>
        <w:widowControl/>
        <w:numPr>
          <w:ilvl w:val="0"/>
          <w:numId w:val="11"/>
        </w:numPr>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420"/>
        </w:tabs>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中长期集中竞价市场开展前；</w:t>
      </w:r>
    </w:p>
    <w:p>
      <w:pPr>
        <w:keepNext w:val="0"/>
        <w:keepLines w:val="0"/>
        <w:pageBreakBefore w:val="0"/>
        <w:widowControl/>
        <w:numPr>
          <w:ilvl w:val="0"/>
          <w:numId w:val="11"/>
        </w:numPr>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420"/>
        </w:tabs>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签订长期协议/差价合同/双边协议前；</w:t>
      </w:r>
    </w:p>
    <w:p>
      <w:pPr>
        <w:keepNext w:val="0"/>
        <w:keepLines w:val="0"/>
        <w:pageBreakBefore w:val="0"/>
        <w:widowControl/>
        <w:numPr>
          <w:ilvl w:val="0"/>
          <w:numId w:val="11"/>
        </w:numPr>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420"/>
        </w:tabs>
        <w:kinsoku/>
        <w:wordWrap/>
        <w:overflowPunct/>
        <w:topLinePunct w:val="0"/>
        <w:autoSpaceDE/>
        <w:autoSpaceDN/>
        <w:bidi w:val="0"/>
        <w:adjustRightInd/>
        <w:snapToGrid/>
        <w:spacing w:line="360" w:lineRule="auto"/>
        <w:ind w:left="840" w:leftChars="0" w:hanging="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企业决策在两者市场上购电的比例。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中长期的角度而言，企业参与现货市场的不确定性主要来源于日内分时电价存在高峰时期和谷时期，一般往往为一至两小时，不同的电力市场可能存在不同的峰谷值电价特点。企业参与现货市场的主要任务是将日前的用电计划量尽可能安排在谷时期和平时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考虑到电价预测的不确定性，本研究采用的风险评估方法为：将现货市场电价按照相对大小划分为尖峰平谷四个区间，每个区间的电价取为样本均值；统计各个时段分别处于尖峰平谷四个区间的概率大小，作为该时段出现峰平谷电价的概率。基于上述概率分布特点，分析现货市场决策行为的损失或收益。</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19" w:name="_Toc31781"/>
      <w:bookmarkStart w:id="120" w:name="_Toc13609"/>
      <w:bookmarkStart w:id="121" w:name="_Toc3638"/>
      <w:r>
        <w:rPr>
          <w:rFonts w:hint="eastAsia"/>
          <w:lang w:val="en-US" w:eastAsia="zh-CN"/>
        </w:rPr>
        <w:t>购电预测模块</w:t>
      </w:r>
      <w:bookmarkEnd w:id="119"/>
      <w:bookmarkEnd w:id="120"/>
      <w:bookmarkEnd w:id="12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购电电量的预测是电网公司全面预算编制的起点，长期以来售电量的预测缺乏合理的科学评价指标，随着电网公司精细化管理工作的深入推进，售电量的预测将直接影响电网公司的投融资规划，科学合理的预测工具是售电量预测精度的重要保证。</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系统和灰、煤、水、电气等监控系统采集的各种监测数据，实时地计算出单位时间内(5分钟、30分钟等)的煤流量、油流量、发电量、上网电量、厂用电量、发电煤耗率、供电煤耗率等。对固定成本采用比较合理的分摊算法，分摊到单位电量中，系统每天核算每台机组每个竞价时段内单位发电总成本。</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时获得每台竞价机组的发电成本变化情况，采取按成本报价策略，确定合理成本利润率后，系统提供每个时段的报价建议，保证企业的基本目标利润实现。根据成本预测数学模型，预测未来几天的不同负荷下的电耗和单位变动成本。根据未来一段时间(月、季)市场情况、气象情况预测单位用电成本变化情况，提供其按最低保本报价建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根据预测的电力市场需求状况，各台机组的不同负荷状态下的发电成本，电力市场运行细则综合分析后按程序计算策略性模型向报价员提供未来1天、30天(1月)各个时段的报价，且提供与报价有关的分析结果，包括:各个时间段可能的竞价失败风险、最大可能出力、最大可能发电量、最大可能上网电量以及各时间段相对于成本的盈亏、日加权平均竞争电价、日平均出力、可能的电费收入和利润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保存录入的省调、网调发布的全网超短期负荷预测，未来4小时以内每30分钟的负荷、日负荷预测，24小时每小时的负荷、月度负荷预测，年度负荷预测等负荷预测信息及网内检修机组、竞争电价、地区国民经济发展状况等数据加工合成后供报价员确定报价策略时参考。</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报价交易成功率统计分析功能。包括:日前市场交易成功率、月度交易成功率、各报价员交易成功率、每笔交易的盈利率等。提供结算信息。能提供任何1天/月各个机组和全厂结算信息，包括:上网电量、结算电量、合同电量、竞价电量、扣罚电量、奖励电量及加权平均竞价电价等。</w:t>
      </w:r>
    </w:p>
    <w:p>
      <w:pPr>
        <w:keepNext/>
        <w:pageBreakBefore w:val="0"/>
        <w:kinsoku/>
        <w:overflowPunct/>
        <w:topLinePunct w:val="0"/>
        <w:bidi w:val="0"/>
        <w:spacing w:line="360" w:lineRule="auto"/>
        <w:jc w:val="center"/>
      </w:pPr>
      <w:r>
        <w:drawing>
          <wp:inline distT="0" distB="0" distL="114300" distR="114300">
            <wp:extent cx="4861560" cy="2049780"/>
            <wp:effectExtent l="0" t="0" r="0"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4861560" cy="204978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图3</w:t>
      </w:r>
      <w:r>
        <w:rPr>
          <w:rFonts w:hint="eastAsia"/>
        </w:rPr>
        <w:t>-</w:t>
      </w:r>
      <w:r>
        <w:t xml:space="preserve">1  </w:t>
      </w:r>
      <w:r>
        <w:rPr>
          <w:rFonts w:hint="eastAsia"/>
        </w:rPr>
        <w:t>售电预测模块</w:t>
      </w:r>
    </w:p>
    <w:p>
      <w:pPr>
        <w:pStyle w:val="5"/>
        <w:pageBreakBefore w:val="0"/>
        <w:kinsoku/>
        <w:overflowPunct/>
        <w:topLinePunct w:val="0"/>
        <w:bidi w:val="0"/>
        <w:spacing w:line="360" w:lineRule="auto"/>
        <w:ind w:left="864" w:leftChars="0" w:hanging="864" w:firstLineChars="0"/>
        <w:rPr>
          <w:rFonts w:hint="eastAsia"/>
        </w:rPr>
      </w:pPr>
      <w:r>
        <w:rPr>
          <w:rFonts w:hint="eastAsia"/>
        </w:rPr>
        <w:t>负荷预测模型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负荷数据、天气数据、节假日数据和温湿度数据等影响因子构建负荷预测模型，采用分类和回归树（CART）算法，并构造ANFIS网络进行参数辨识，建模过程完全基于样本数据进行，保证了模型能客观地反映相关变量与负荷值之间的复杂关系。</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负荷预测问题是把影响负荷水平的诸多因素组成的数据集作为模糊系统的输入空间，CART将输入空间划分成若干矩形互斥区域，每个区域对应一个属性值，该属性值即相应的负荷预测结果。将此数据集分为训练数据集和测试数据集两个相互独立的子集，利用独立的测试数据集进行测试，选择具有最小测试误差的最佳规模树作为模糊系统结构辨识的依据。CART算法结束之后，即完成了相关变量的选择，对输入空间进行了树划分，并给出一组决策规则集。但对于这组决策规则集，当给定一个输入向量时，有且仅有一条规则被激励，在整个输入输出映射中，这将会产生不希望的不连续边界。解决此问题的方法是将决策规则集的前提部分模糊化，将决策规则集转化为模糊规则集。 这时当给定一个输入向量时，将有多条规则被激励，每条规则的输出都有相应的激励强度。 系统总的输出是各条规则输出的加权和，从而消除了不连续边界，使得输入输出曲面变得连续且平滑。这样，模糊推理系统的大致结构就确定下来，形成了 TSK型的模糊推理系统。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模糊推理系统结构辨识完成后，采用TSK模型构造一个与之等价的自适应网络，即相应的零阶ANFIS模型，这样负荷预测的模型结构就基本确定下来。然后以电力负荷及其影响因素的历史数据对ANFIS网络进行有导师学习，完成参数辨识任务。</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将CART算法与AN FIS相结合，建立一个实用的负荷预测模型。采用单点预测模型。先大致选取一些对预测值可能会有影响的变量，例如前几个时刻的负荷值、气象状况等，形成样本集，执行CART算法，剔除无关变量，确立决策规则集；然后构造ANFIS网络，进行决策规则集的模糊化，采用LM算法进行参数辨识。至此，负荷预测模型已建立起来模型的最终结构是IF……THEN形式的模糊推理系统，以第i条规则为例，形式如下：</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IF 影响因素 1 is A</w:t>
      </w:r>
      <w:r>
        <w:rPr>
          <w:rFonts w:hint="eastAsia" w:asciiTheme="minorEastAsia" w:hAnsiTheme="minorEastAsia" w:eastAsiaTheme="minorEastAsia" w:cstheme="minorEastAsia"/>
          <w:sz w:val="24"/>
          <w:vertAlign w:val="subscript"/>
        </w:rPr>
        <w:t>i</w:t>
      </w:r>
      <w:r>
        <w:rPr>
          <w:rFonts w:hint="eastAsia" w:asciiTheme="minorEastAsia" w:hAnsiTheme="minorEastAsia" w:eastAsiaTheme="minorEastAsia" w:cstheme="minorEastAsia"/>
          <w:sz w:val="24"/>
        </w:rPr>
        <w:t>，</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AND  影响因素 2 is B</w:t>
      </w:r>
      <w:r>
        <w:rPr>
          <w:rFonts w:hint="eastAsia" w:asciiTheme="minorEastAsia" w:hAnsiTheme="minorEastAsia" w:eastAsiaTheme="minorEastAsia" w:cstheme="minorEastAsia"/>
          <w:sz w:val="24"/>
          <w:vertAlign w:val="subscript"/>
        </w:rPr>
        <w:t>i</w:t>
      </w:r>
      <w:r>
        <w:rPr>
          <w:rFonts w:hint="eastAsia" w:asciiTheme="minorEastAsia" w:hAnsiTheme="minorEastAsia" w:eastAsiaTheme="minorEastAsia" w:cstheme="minorEastAsia"/>
          <w:sz w:val="24"/>
        </w:rPr>
        <w:t>，</w:t>
      </w:r>
    </w:p>
    <w:p>
      <w:pPr>
        <w:pageBreakBefore w:val="0"/>
        <w:kinsoku/>
        <w:overflowPunct/>
        <w:topLinePunct w:val="0"/>
        <w:bidi w:val="0"/>
        <w:spacing w:line="360"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 …</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AND  影响因素 n is N</w:t>
      </w:r>
      <w:r>
        <w:rPr>
          <w:rFonts w:hint="eastAsia" w:asciiTheme="minorEastAsia" w:hAnsiTheme="minorEastAsia" w:eastAsiaTheme="minorEastAsia" w:cstheme="minorEastAsia"/>
          <w:sz w:val="24"/>
          <w:vertAlign w:val="subscript"/>
        </w:rPr>
        <w:t>i</w:t>
      </w:r>
      <w:r>
        <w:rPr>
          <w:rFonts w:hint="eastAsia" w:asciiTheme="minorEastAsia" w:hAnsiTheme="minorEastAsia" w:eastAsiaTheme="minorEastAsia" w:cstheme="minorEastAsia"/>
          <w:sz w:val="24"/>
        </w:rPr>
        <w:t>，</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THEN 负荷预测值 is y</w:t>
      </w:r>
      <w:r>
        <w:rPr>
          <w:rFonts w:hint="eastAsia" w:asciiTheme="minorEastAsia" w:hAnsiTheme="minorEastAsia" w:eastAsiaTheme="minorEastAsia" w:cstheme="minorEastAsia"/>
          <w:sz w:val="24"/>
          <w:vertAlign w:val="subscript"/>
        </w:rPr>
        <w:t>i</w:t>
      </w:r>
      <w:r>
        <w:rPr>
          <w:rFonts w:hint="eastAsia" w:asciiTheme="minorEastAsia" w:hAnsiTheme="minorEastAsia" w:eastAsiaTheme="minorEastAsia" w:cstheme="minorEastAsia"/>
          <w:sz w:val="24"/>
        </w:rPr>
        <w:t>。</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前已证明基于 CART算法设计的 ANFIS具有激励强度归一化的性质，所以最终负荷预测值就是各规则的输出值与其激励强度乘积之和。</w:t>
      </w:r>
    </w:p>
    <w:p>
      <w:pPr>
        <w:pStyle w:val="5"/>
        <w:pageBreakBefore w:val="0"/>
        <w:kinsoku/>
        <w:overflowPunct/>
        <w:topLinePunct w:val="0"/>
        <w:bidi w:val="0"/>
        <w:spacing w:line="360" w:lineRule="auto"/>
        <w:ind w:left="864" w:leftChars="0" w:hanging="864" w:firstLineChars="0"/>
        <w:rPr>
          <w:rFonts w:hint="eastAsia"/>
        </w:rPr>
      </w:pPr>
      <w:r>
        <w:rPr>
          <w:rFonts w:hint="eastAsia"/>
        </w:rPr>
        <w:t>负荷电力预测分析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单负荷同比环比分析：分析监测点日负荷同比、环比情况，从中找出用电趋势信息，从而发挖用电规律。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多负荷对比分析：能对多个监测点进行同日负荷曲线对比，从中找出用电规律，发现用电是否合理。</w:t>
      </w:r>
    </w:p>
    <w:p>
      <w:pPr>
        <w:pStyle w:val="5"/>
        <w:pageBreakBefore w:val="0"/>
        <w:kinsoku/>
        <w:overflowPunct/>
        <w:topLinePunct w:val="0"/>
        <w:bidi w:val="0"/>
        <w:spacing w:line="360" w:lineRule="auto"/>
        <w:ind w:left="864" w:leftChars="0" w:hanging="864" w:firstLineChars="0"/>
        <w:rPr>
          <w:rFonts w:hint="eastAsia"/>
        </w:rPr>
      </w:pPr>
      <w:r>
        <w:rPr>
          <w:rFonts w:hint="eastAsia"/>
        </w:rPr>
        <w:t>电量增长趋势</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展示各费率日电量组成，提供小时电量曲线、日负荷曲线；提供日总电量、日平均负荷、日最大负荷、日最小负荷、负荷率数据。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展示各行业电量增长趋势图，提供时间段查询方式和按日月年查询电量增长趋势和各行业增长对比分析。</w:t>
      </w:r>
    </w:p>
    <w:p>
      <w:pPr>
        <w:pStyle w:val="5"/>
        <w:pageBreakBefore w:val="0"/>
        <w:kinsoku/>
        <w:overflowPunct/>
        <w:topLinePunct w:val="0"/>
        <w:bidi w:val="0"/>
        <w:spacing w:line="360" w:lineRule="auto"/>
        <w:ind w:left="864" w:leftChars="0" w:hanging="864" w:firstLineChars="0"/>
        <w:rPr>
          <w:rFonts w:hint="eastAsia"/>
        </w:rPr>
      </w:pPr>
      <w:r>
        <w:rPr>
          <w:rFonts w:hint="eastAsia"/>
        </w:rPr>
        <w:t>电力曲线分解</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自定义分解曲线：年度和月（周）双边协商交易，由购售双方自主协商交易电量、交易价格、双方自定义日96 个时段分解曲线，签订双边协商交易合约，报送交易中心；并在规定的交易时间内，由购电方将日96个时段分解曲线、交易价格提交至电力交易平台，售电方在平台确认，作为中长期合约结算依据。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典型分解曲线：包括年度、月（周）典型分解曲线，由市场管委会根据省内市场化用户的负荷特性组织制定并发布。目前日96个时段分时曲线暂设置五种形式：</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1）全</w:t>
      </w:r>
      <w:r>
        <w:rPr>
          <w:rFonts w:hint="eastAsia" w:asciiTheme="minorEastAsia" w:hAnsiTheme="minorEastAsia" w:eastAsiaTheme="minorEastAsia" w:cstheme="minorEastAsia"/>
          <w:sz w:val="24"/>
          <w:szCs w:val="24"/>
          <w:lang w:val="en-US" w:eastAsia="zh-CN"/>
        </w:rPr>
        <w:t>天平均曲线D1：将日</w:t>
      </w:r>
      <w:r>
        <w:rPr>
          <w:rFonts w:hint="default" w:asciiTheme="minorEastAsia" w:hAnsiTheme="minorEastAsia" w:eastAsiaTheme="minorEastAsia" w:cstheme="minorEastAsia"/>
          <w:sz w:val="24"/>
          <w:szCs w:val="24"/>
          <w:lang w:val="en-US" w:eastAsia="zh-CN"/>
        </w:rPr>
        <w:t>电量</w:t>
      </w:r>
      <w:r>
        <w:rPr>
          <w:rFonts w:hint="eastAsia" w:asciiTheme="minorEastAsia" w:hAnsiTheme="minorEastAsia" w:eastAsiaTheme="minorEastAsia" w:cstheme="minorEastAsia"/>
          <w:sz w:val="24"/>
          <w:szCs w:val="24"/>
          <w:lang w:val="en-US" w:eastAsia="zh-CN"/>
        </w:rPr>
        <w:t>平均分解，形成日96个时段 电量曲线。</w:t>
      </w:r>
    </w:p>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2）高</w:t>
      </w:r>
      <w:r>
        <w:rPr>
          <w:rFonts w:hint="eastAsia" w:asciiTheme="minorEastAsia" w:hAnsiTheme="minorEastAsia" w:eastAsiaTheme="minorEastAsia" w:cstheme="minorEastAsia"/>
          <w:sz w:val="24"/>
          <w:szCs w:val="24"/>
          <w:lang w:val="en-US" w:eastAsia="zh-CN"/>
        </w:rPr>
        <w:t>峰时段曲线</w:t>
      </w:r>
      <w:r>
        <w:rPr>
          <w:rFonts w:hint="default" w:asciiTheme="minorEastAsia" w:hAnsiTheme="minorEastAsia" w:eastAsia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：将日电量平均分解至峰段，其余时段为零，形成日96</w:t>
      </w:r>
      <w:r>
        <w:rPr>
          <w:rFonts w:hint="default" w:asciiTheme="minorEastAsia" w:hAnsiTheme="minorEastAsia" w:eastAsiaTheme="minorEastAsia" w:cstheme="minorEastAsia"/>
          <w:sz w:val="24"/>
          <w:szCs w:val="24"/>
          <w:lang w:val="en-US" w:eastAsia="zh-CN"/>
        </w:rPr>
        <w:t>个时段电量曲线。</w:t>
      </w:r>
    </w:p>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szCs w:val="24"/>
          <w:lang w:val="en-US" w:eastAsia="zh-CN"/>
        </w:rPr>
      </w:pPr>
      <w:r>
        <w:rPr>
          <w:rStyle w:val="24"/>
          <w:rFonts w:hint="default" w:asciiTheme="minorEastAsia" w:hAnsiTheme="minorEastAsia" w:eastAsiaTheme="minorEastAsia"/>
        </w:rPr>
        <w:t>3）平</w:t>
      </w:r>
      <w:r>
        <w:rPr>
          <w:rFonts w:hint="default" w:asciiTheme="minorEastAsia" w:hAnsiTheme="minorEastAsia" w:eastAsiaTheme="minorEastAsia" w:cstheme="minorEastAsia"/>
          <w:sz w:val="24"/>
          <w:szCs w:val="24"/>
          <w:lang w:val="en-US" w:eastAsia="zh-CN"/>
        </w:rPr>
        <w:t>段曲线D3：将日电量平均分解至平段，低谷和高峰时段为零，形成日96个时段电量曲线。</w:t>
      </w:r>
    </w:p>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szCs w:val="24"/>
          <w:lang w:val="en-US" w:eastAsia="zh-CN"/>
        </w:rPr>
      </w:pPr>
      <w:r>
        <w:rPr>
          <w:rStyle w:val="24"/>
          <w:rFonts w:hint="default" w:asciiTheme="minorEastAsia" w:hAnsiTheme="minorEastAsia" w:eastAsiaTheme="minorEastAsia"/>
        </w:rPr>
        <w:t>4）低</w:t>
      </w:r>
      <w:r>
        <w:rPr>
          <w:rFonts w:hint="default" w:asciiTheme="minorEastAsia" w:hAnsiTheme="minorEastAsia" w:eastAsiaTheme="minorEastAsia" w:cstheme="minorEastAsia"/>
          <w:sz w:val="24"/>
          <w:szCs w:val="24"/>
          <w:lang w:val="en-US" w:eastAsia="zh-CN"/>
        </w:rPr>
        <w:t>谷时段曲线D4：将日电量平均分解至低谷时段，其余时段为零，形成日96个时段电量曲线。</w:t>
      </w:r>
    </w:p>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szCs w:val="24"/>
          <w:lang w:val="en-US" w:eastAsia="zh-CN"/>
        </w:rPr>
      </w:pPr>
      <w:r>
        <w:rPr>
          <w:rStyle w:val="24"/>
          <w:rFonts w:hint="default" w:asciiTheme="minorEastAsia" w:hAnsiTheme="minorEastAsia" w:eastAsiaTheme="minorEastAsia"/>
        </w:rPr>
        <w:t>5）峰</w:t>
      </w:r>
      <w:r>
        <w:rPr>
          <w:rFonts w:hint="default" w:asciiTheme="minorEastAsia" w:hAnsiTheme="minorEastAsia" w:eastAsiaTheme="minorEastAsia" w:cstheme="minorEastAsia"/>
          <w:sz w:val="24"/>
          <w:szCs w:val="24"/>
          <w:lang w:val="en-US" w:eastAsia="zh-CN"/>
        </w:rPr>
        <w:t>平谷曲线D5：将日划分为峰段、平段和谷段，根据用电 侧历史负荷特性，确定峰平谷三段负荷比例，将日电量分 解为日96个时段电量曲线。（现货模拟运行时，在交易平 台暂设置一种综合日典型曲线，0:00~9:00，电量占比 20%；9:00~18:00，电量占比50%；18:00~24：00，电量占比30%）</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在现有的市场规则中，用电侧的售电公司和批发用户可以通过签订中长期合约来对冲未来现货价格波动的风险，即所谓的套期保值。一般来说，负荷峰段的不确定性会高于谷段，由此产生的价格波动概率也会高于谷段。售电公司和批发用户若担心峰段日前和实时现货价格会有较大概率超过峰段合约价格，那么就可以通过超买峰段合约来提前锁定价格，从而达到规避市场风险的目的，体现在分解曲线中即为峰期时段的合约覆盖量超过其代理的用户负荷预测量。</w:t>
      </w:r>
    </w:p>
    <w:p>
      <w:pPr>
        <w:pStyle w:val="5"/>
        <w:pageBreakBefore w:val="0"/>
        <w:kinsoku/>
        <w:overflowPunct/>
        <w:topLinePunct w:val="0"/>
        <w:bidi w:val="0"/>
        <w:spacing w:line="360" w:lineRule="auto"/>
        <w:ind w:left="864" w:leftChars="0" w:hanging="864" w:firstLineChars="0"/>
        <w:rPr>
          <w:rFonts w:hint="eastAsia"/>
        </w:rPr>
      </w:pPr>
      <w:r>
        <w:rPr>
          <w:rFonts w:hint="eastAsia"/>
        </w:rPr>
        <w:t>供求趋势分析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根据历史用电量、增长</w:t>
      </w:r>
      <w:r>
        <w:rPr>
          <w:rFonts w:hint="default" w:asciiTheme="minorEastAsia" w:hAnsiTheme="minorEastAsia" w:eastAsiaTheme="minorEastAsia" w:cstheme="minorEastAsia"/>
          <w:sz w:val="24"/>
          <w:szCs w:val="24"/>
          <w:lang w:val="en-US" w:eastAsia="zh-CN"/>
        </w:rPr>
        <w:t>趋势</w:t>
      </w:r>
      <w:r>
        <w:rPr>
          <w:rFonts w:hint="eastAsia" w:asciiTheme="minorEastAsia" w:hAnsiTheme="minorEastAsia" w:eastAsiaTheme="minorEastAsia" w:cstheme="minorEastAsia"/>
          <w:sz w:val="24"/>
          <w:szCs w:val="24"/>
          <w:lang w:val="en-US" w:eastAsia="zh-CN"/>
        </w:rPr>
        <w:t>和发电装机规模、新增发电装机速度等因素，分析市场电力的供求数量，根据产业用电增长趋势分析用电需求量，根据需求量和发电装机的发电数增长趋势分析市场供给量，为竞价提供依据。</w:t>
      </w:r>
    </w:p>
    <w:p>
      <w:pPr>
        <w:pStyle w:val="5"/>
        <w:pageBreakBefore w:val="0"/>
        <w:kinsoku/>
        <w:overflowPunct/>
        <w:topLinePunct w:val="0"/>
        <w:bidi w:val="0"/>
        <w:spacing w:line="360" w:lineRule="auto"/>
        <w:ind w:left="864" w:leftChars="0" w:hanging="864" w:firstLineChars="0"/>
        <w:rPr>
          <w:rFonts w:hint="eastAsia"/>
        </w:rPr>
      </w:pPr>
      <w:r>
        <w:rPr>
          <w:rFonts w:hint="eastAsia"/>
        </w:rPr>
        <w:t>报价辅助决策</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发电市场规划与电力市场信息，结合发电商各机组的发电成本，根据相关历史数据与资料，分析电力市场的市场走势，预测未来各时段的市场边际电价，为报价决策人员提供及时、科学的报价决策信息，从而合理的调整市场报价, 为企业提供最大的经济效益。</w:t>
      </w:r>
    </w:p>
    <w:p>
      <w:pPr>
        <w:pStyle w:val="5"/>
        <w:pageBreakBefore w:val="0"/>
        <w:kinsoku/>
        <w:overflowPunct/>
        <w:topLinePunct w:val="0"/>
        <w:bidi w:val="0"/>
        <w:spacing w:line="360" w:lineRule="auto"/>
        <w:ind w:left="864" w:leftChars="0" w:hanging="864" w:firstLineChars="0"/>
        <w:rPr>
          <w:rFonts w:hint="eastAsia"/>
        </w:rPr>
      </w:pPr>
      <w:r>
        <w:rPr>
          <w:rFonts w:hint="eastAsia"/>
        </w:rPr>
        <w:t>辅助制定报价方案</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根据历史用电数据、负荷预测结果、成本预测结果、成本历史数据等多项数据，</w:t>
      </w:r>
      <w:r>
        <w:rPr>
          <w:rFonts w:hint="default" w:asciiTheme="minorEastAsia" w:hAnsiTheme="minorEastAsia" w:eastAsiaTheme="minorEastAsia" w:cstheme="minorEastAsia"/>
          <w:sz w:val="24"/>
          <w:szCs w:val="24"/>
          <w:lang w:val="en-US" w:eastAsia="zh-CN"/>
        </w:rPr>
        <w:t>利用大数据和人工智能技术，</w:t>
      </w:r>
      <w:r>
        <w:rPr>
          <w:rFonts w:hint="eastAsia" w:asciiTheme="minorEastAsia" w:hAnsiTheme="minorEastAsia" w:eastAsiaTheme="minorEastAsia" w:cstheme="minorEastAsia"/>
          <w:sz w:val="24"/>
          <w:szCs w:val="24"/>
          <w:lang w:val="en-US" w:eastAsia="zh-CN"/>
        </w:rPr>
        <w:t>提供多种报价策略，并进行分析比较提出推荐方案；提供实时的发电成本计算和成本预测；提供各交易市场中电价预测和价格走势分析；对电力市场进行风险分析，提供风险规避策略;形成最优发电计划。</w:t>
      </w:r>
    </w:p>
    <w:p>
      <w:pPr>
        <w:pStyle w:val="5"/>
        <w:pageBreakBefore w:val="0"/>
        <w:kinsoku/>
        <w:overflowPunct/>
        <w:topLinePunct w:val="0"/>
        <w:bidi w:val="0"/>
        <w:spacing w:line="360" w:lineRule="auto"/>
        <w:ind w:left="864" w:leftChars="0" w:hanging="864" w:firstLineChars="0"/>
        <w:rPr>
          <w:rFonts w:hint="eastAsia"/>
        </w:rPr>
      </w:pPr>
      <w:r>
        <w:rPr>
          <w:rFonts w:hint="eastAsia"/>
        </w:rPr>
        <w:t>交易申报</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市场参与者需要向南方电网公司申报发电或用电计划。</w:t>
      </w:r>
      <w:r>
        <w:rPr>
          <w:rFonts w:hint="default" w:asciiTheme="minorEastAsia" w:hAnsiTheme="minorEastAsia" w:eastAsiaTheme="minorEastAsia" w:cstheme="minorEastAsia"/>
          <w:sz w:val="24"/>
          <w:szCs w:val="24"/>
          <w:lang w:val="en-US" w:eastAsia="zh-CN"/>
        </w:rPr>
        <w:t>信息申报和报价在每个交易时段的规定时间前截止，一切有关发电和用电变化的信息可随时通知市场，但是不作为最终的结算依据。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集中竞争交易集合竞价阶段采用集中申报、集中撮合的交易机制，在连续竞价交易前完成，主要包括集中申报、集中撮合、结果发布等环节。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市场主体在连续竞价阶段交易时段内申报拟购买或出售的交易电量与价格，申报信息匿名即时公布。</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市场主体申报的交易电量应为基本单位电量的整数倍，且满足交易电量约束。申报价格采用绝对电能价格形式，满足最小变动价位，且不得超过交易价格约束。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市场主体已申报未成交的交易意向可在交易窗口时间内撤销，已成交的交易意向不能撤销。</w:t>
      </w:r>
    </w:p>
    <w:p>
      <w:pPr>
        <w:pStyle w:val="5"/>
        <w:pageBreakBefore w:val="0"/>
        <w:kinsoku/>
        <w:overflowPunct/>
        <w:topLinePunct w:val="0"/>
        <w:bidi w:val="0"/>
        <w:spacing w:line="360" w:lineRule="auto"/>
        <w:ind w:left="864" w:leftChars="0" w:hanging="864" w:firstLineChars="0"/>
        <w:rPr>
          <w:rFonts w:hint="eastAsia"/>
        </w:rPr>
      </w:pPr>
      <w:r>
        <w:rPr>
          <w:rFonts w:hint="eastAsia"/>
        </w:rPr>
        <w:t>售电仿真系统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系统基于对电网企业实际业务数据的深度分析判断，全方位考虑企业内外部影响因素指标输入，创新研究企业售电侧经营动态的模拟仿真应用，通过情景模拟操作快速输出企业售电收入预测数据结果，强化了企业售电预算管理。</w:t>
      </w:r>
    </w:p>
    <w:p>
      <w:pPr>
        <w:pStyle w:val="6"/>
        <w:pageBreakBefore w:val="0"/>
        <w:kinsoku/>
        <w:overflowPunct/>
        <w:topLinePunct w:val="0"/>
        <w:bidi w:val="0"/>
        <w:spacing w:line="360" w:lineRule="auto"/>
        <w:rPr>
          <w:rFonts w:ascii="黑体" w:hAnsi="黑体" w:eastAsia="黑体"/>
          <w:b w:val="0"/>
          <w:bCs w:val="0"/>
          <w:sz w:val="24"/>
          <w:szCs w:val="24"/>
        </w:rPr>
      </w:pPr>
      <w:r>
        <w:rPr>
          <w:rFonts w:ascii="黑体" w:hAnsi="黑体" w:eastAsia="黑体"/>
          <w:b w:val="0"/>
          <w:bCs w:val="0"/>
          <w:sz w:val="24"/>
          <w:szCs w:val="24"/>
        </w:rPr>
        <w:t>仿真软件选型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对配售电交易流程方面深入研究，模拟电力市场主体交易行为，构建符合多应用场景的仿真系统。</w:t>
      </w:r>
    </w:p>
    <w:p>
      <w:pPr>
        <w:pStyle w:val="6"/>
        <w:pageBreakBefore w:val="0"/>
        <w:kinsoku/>
        <w:overflowPunct/>
        <w:topLinePunct w:val="0"/>
        <w:bidi w:val="0"/>
        <w:spacing w:line="360" w:lineRule="auto"/>
        <w:rPr>
          <w:rFonts w:ascii="黑体" w:hAnsi="黑体" w:eastAsia="黑体"/>
          <w:b w:val="0"/>
          <w:bCs w:val="0"/>
          <w:sz w:val="24"/>
          <w:szCs w:val="24"/>
        </w:rPr>
      </w:pPr>
      <w:r>
        <w:rPr>
          <w:rFonts w:ascii="黑体" w:hAnsi="黑体" w:eastAsia="黑体"/>
          <w:b w:val="0"/>
          <w:bCs w:val="0"/>
          <w:sz w:val="24"/>
          <w:szCs w:val="24"/>
        </w:rPr>
        <w:t>仿真功能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仿真系统主要是将电力市场主体的行为或市场交易概念付诸实践，用于检验市场设计、市场规则、交易品种；比较、对标，标准市场设计；检验市场主体行为及其影响；检验市场力、市场干预的作用。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主要模拟内容：年度、月度交易双边协商、集中竞价和挂牌交易；日前市场的集中撮合交易；各类市场主体在一定信息结构下的交易决策；发电商对发电技术和规模的投资决策；发电全和合约转让交易；平衡市场的交易和结算等。</w:t>
      </w:r>
    </w:p>
    <w:p>
      <w:pPr>
        <w:pStyle w:val="6"/>
        <w:pageBreakBefore w:val="0"/>
        <w:kinsoku/>
        <w:overflowPunct/>
        <w:topLinePunct w:val="0"/>
        <w:bidi w:val="0"/>
        <w:spacing w:line="360" w:lineRule="auto"/>
        <w:rPr>
          <w:rFonts w:ascii="黑体" w:hAnsi="黑体" w:eastAsia="黑体"/>
          <w:b w:val="0"/>
          <w:bCs w:val="0"/>
          <w:sz w:val="24"/>
          <w:szCs w:val="24"/>
        </w:rPr>
      </w:pPr>
      <w:r>
        <w:rPr>
          <w:rFonts w:ascii="黑体" w:hAnsi="黑体" w:eastAsia="黑体"/>
          <w:b w:val="0"/>
          <w:bCs w:val="0"/>
          <w:sz w:val="24"/>
          <w:szCs w:val="24"/>
        </w:rPr>
        <w:t>仿真算法</w:t>
      </w:r>
      <w:r>
        <w:rPr>
          <w:rFonts w:hint="eastAsia" w:ascii="黑体" w:hAnsi="黑体" w:eastAsia="黑体"/>
          <w:b w:val="0"/>
          <w:bCs w:val="0"/>
          <w:sz w:val="24"/>
          <w:szCs w:val="24"/>
        </w:rPr>
        <w:t>模型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全面整合各领域的仿真分析能力，融合应用新技术，建设全模态能源互联网仿真中心和统一计算运营平台。售电仿真基于电力生产、电力传输、电力消费全面感知数据，可针对电力市场多要素及其交互过程开展全方位建模与仿真。把大数据、智能感知、人工智能、5G等数字化技术与电力市场规划、运行、交易等业务深度融合，通过仿真平台实现电网相关仿真系统的互联互通，可实现电力局部与全局、微观与宏观等多层面的建模仿真。</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仿真系统原型界面</w:t>
      </w:r>
    </w:p>
    <w:p>
      <w:pPr>
        <w:pageBreakBefore w:val="0"/>
        <w:kinsoku/>
        <w:overflowPunct/>
        <w:topLinePunct w:val="0"/>
        <w:bidi w:val="0"/>
        <w:spacing w:line="360" w:lineRule="auto"/>
        <w:ind w:firstLine="480" w:firstLineChars="200"/>
        <w:rPr>
          <w:rStyle w:val="24"/>
          <w:rFonts w:hint="default" w:asciiTheme="minorEastAsia" w:hAnsiTheme="minorEastAsia" w:eastAsiaTheme="minorEastAsia" w:cstheme="minorEastAsia"/>
        </w:rPr>
      </w:pPr>
      <w:r>
        <w:rPr>
          <w:rFonts w:hint="default" w:asciiTheme="minorEastAsia" w:hAnsiTheme="minorEastAsia" w:eastAsiaTheme="minorEastAsia" w:cstheme="minorEastAsia"/>
          <w:sz w:val="24"/>
          <w:szCs w:val="24"/>
          <w:lang w:val="en-US" w:eastAsia="zh-CN"/>
        </w:rPr>
        <w:t>仿真系统主要是电力市场交易行为的模拟功能，具体界面设计如下图所示：</w:t>
      </w:r>
    </w:p>
    <w:p>
      <w:pPr>
        <w:keepNext/>
        <w:pageBreakBefore w:val="0"/>
        <w:kinsoku/>
        <w:overflowPunct/>
        <w:topLinePunct w:val="0"/>
        <w:bidi w:val="0"/>
        <w:spacing w:line="360" w:lineRule="auto"/>
        <w:jc w:val="center"/>
      </w:pPr>
      <w:r>
        <w:drawing>
          <wp:inline distT="0" distB="0" distL="0" distR="0">
            <wp:extent cx="5716905" cy="2687955"/>
            <wp:effectExtent l="0" t="0" r="17145" b="17145"/>
            <wp:docPr id="15" name="图片 15" descr="C:\Users\Admin\AppData\Local\Temp\WeChat Files\5392220930ee31ac43e5c312ed60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WeChat Files\5392220930ee31ac43e5c312ed605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6905" cy="2688381"/>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rPr>
      </w:pPr>
      <w:r>
        <w:t>图3</w:t>
      </w:r>
      <w:r>
        <w:rPr>
          <w:rFonts w:hint="eastAsia"/>
        </w:rPr>
        <w:t>-</w:t>
      </w:r>
      <w:r>
        <w:t xml:space="preserve">1  </w:t>
      </w:r>
      <w:r>
        <w:rPr>
          <w:rFonts w:hint="eastAsia"/>
        </w:rPr>
        <w:t>仿真系统原型界面</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22" w:name="_Toc11991"/>
      <w:bookmarkStart w:id="123" w:name="_Toc4179"/>
      <w:bookmarkStart w:id="124" w:name="_Toc22502"/>
      <w:r>
        <w:rPr>
          <w:rFonts w:hint="eastAsia"/>
          <w:lang w:val="en-US" w:eastAsia="zh-CN"/>
        </w:rPr>
        <w:t>企业能耗管理模块</w:t>
      </w:r>
      <w:bookmarkEnd w:id="122"/>
      <w:bookmarkEnd w:id="123"/>
      <w:bookmarkEnd w:id="124"/>
    </w:p>
    <w:p>
      <w:pPr>
        <w:pageBreakBefore w:val="0"/>
        <w:kinsoku/>
        <w:overflowPunct/>
        <w:topLinePunct w:val="0"/>
        <w:bidi w:val="0"/>
        <w:spacing w:line="360" w:lineRule="auto"/>
        <w:ind w:leftChars="-95" w:hanging="228" w:hangingChars="95"/>
      </w:pPr>
      <w:r>
        <w:drawing>
          <wp:inline distT="0" distB="0" distL="0" distR="0">
            <wp:extent cx="5826125" cy="5523230"/>
            <wp:effectExtent l="0" t="0" r="3175"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26125" cy="552323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pPr>
      <w:r>
        <w:t>图</w:t>
      </w:r>
      <w:r>
        <w:rPr>
          <w:rFonts w:hint="eastAsia"/>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67310</wp:posOffset>
                </wp:positionV>
                <wp:extent cx="635" cy="635"/>
                <wp:effectExtent l="0" t="0" r="0" b="0"/>
                <wp:wrapNone/>
                <wp:docPr id="75" name="墨迹 75"/>
                <wp:cNvGraphicFramePr/>
                <a:graphic xmlns:a="http://schemas.openxmlformats.org/drawingml/2006/main">
                  <a:graphicData uri="http://schemas.microsoft.com/office/word/2010/wordprocessingInk">
                    <mc:AlternateContent xmlns:a14="http://schemas.microsoft.com/office/drawing/2010/main">
                      <mc:Choice Requires="a14">
                        <w14:contentPart bwMode="auto" r:id="rId15">
                          <w14:nvContentPartPr>
                            <w14:cNvPr id="75" name="墨迹 75"/>
                            <w14:cNvContentPartPr/>
                          </w14:nvContentPartPr>
                          <w14:xfrm>
                            <a:off x="0" y="0"/>
                            <a:ext cx="360" cy="360"/>
                          </w14:xfrm>
                        </w14:contentPart>
                      </mc:Choice>
                    </mc:AlternateContent>
                  </a:graphicData>
                </a:graphic>
              </wp:anchor>
            </w:drawing>
          </mc:Choice>
          <mc:Fallback>
            <w:pict>
              <v:shape id="_x0000_s1026" o:spid="_x0000_s1026" o:spt="75" style="position:absolute;left:0pt;margin-left:2.4pt;margin-top:5.3pt;height:0.05pt;width:0.05pt;z-index:251662336;mso-width-relative:page;mso-height-relative:page;" coordsize="21600,21600" o:gfxdata="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">
                <v:imagedata r:id="rId16" o:title=""/>
                <o:lock v:ext="edit"/>
              </v:shape>
            </w:pict>
          </mc:Fallback>
        </mc:AlternateContent>
      </w:r>
      <w:r>
        <w:rPr>
          <w:rFonts w:hint="eastAsia"/>
        </w:rPr>
        <w:t>3-</w:t>
      </w:r>
      <w:r>
        <w:t xml:space="preserve">2  </w:t>
      </w:r>
      <w:r>
        <w:rPr>
          <w:rFonts w:hint="eastAsia"/>
        </w:rPr>
        <w:t>系统功能分层架构图</w:t>
      </w:r>
    </w:p>
    <w:p>
      <w:pPr>
        <w:pStyle w:val="5"/>
        <w:pageBreakBefore w:val="0"/>
        <w:kinsoku/>
        <w:overflowPunct/>
        <w:topLinePunct w:val="0"/>
        <w:bidi w:val="0"/>
        <w:spacing w:line="360" w:lineRule="auto"/>
        <w:ind w:left="864" w:leftChars="0" w:hanging="864" w:firstLineChars="0"/>
        <w:rPr>
          <w:rFonts w:hint="eastAsia"/>
        </w:rPr>
      </w:pPr>
      <w:r>
        <w:rPr>
          <w:rFonts w:hint="eastAsia"/>
        </w:rPr>
        <w:t>用能总览</w:t>
      </w:r>
    </w:p>
    <w:p>
      <w:pPr>
        <w:pageBreakBefore w:val="0"/>
        <w:kinsoku/>
        <w:overflowPunct/>
        <w:topLinePunct w:val="0"/>
        <w:bidi w:val="0"/>
        <w:spacing w:line="360" w:lineRule="auto"/>
        <w:ind w:leftChars="-95" w:hanging="228" w:hangingChars="95"/>
      </w:pPr>
      <w:r>
        <w:drawing>
          <wp:inline distT="0" distB="0" distL="0" distR="0">
            <wp:extent cx="5988050" cy="3646805"/>
            <wp:effectExtent l="0" t="0" r="635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988050" cy="3646805"/>
                    </a:xfrm>
                    <a:prstGeom prst="rect">
                      <a:avLst/>
                    </a:prstGeom>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图3</w:t>
      </w:r>
      <w:r>
        <w:rPr>
          <w:rFonts w:hint="eastAsia"/>
        </w:rPr>
        <w:t>-</w:t>
      </w:r>
      <w:r>
        <w:t xml:space="preserve">3  </w:t>
      </w:r>
      <w:r>
        <w:rPr>
          <w:rFonts w:hint="eastAsia"/>
        </w:rPr>
        <w:t>用能总览图</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平台的功能根据用户的不同情况和需求，分别对应企业能耗管理、企业需求侧管理和企业手电预测三个部分组成，其中能源管理系统的数据计量、采集、解析、过滤和存储是基础，需求侧分析和判断企业用能效水平和合理调配用能消耗的核心模块，售电预测是为企业提供相关决策支持的上层模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采用直观看板展示企业全场的用能情况。</w:t>
      </w:r>
    </w:p>
    <w:p>
      <w:pPr>
        <w:pStyle w:val="6"/>
        <w:bidi w:val="0"/>
        <w:ind w:left="1008" w:leftChars="0" w:hanging="1008" w:firstLineChars="0"/>
        <w:rPr>
          <w:rFonts w:hint="eastAsia"/>
        </w:rPr>
      </w:pPr>
      <w:r>
        <w:rPr>
          <w:rFonts w:hint="eastAsia"/>
        </w:rPr>
        <w:t>数据模块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使用效率的提升首先取决于能源使用状况的掌握程度，只有先发现问题，才能去解决问题，所以能源计量工作是用能单位实现科学管理的一项重要技术基础。有了完善准确的计量器具，才能为生产和生活的各个环节提供可靠的数据。有了先进的能源计量数据采集手段，自动、及时、准确的采集计量器具的数据，才能最大化的发挥计量数据的作用。否则，各项统计分析就无法进行或失去意义。</w:t>
      </w:r>
    </w:p>
    <w:p>
      <w:pPr>
        <w:pStyle w:val="6"/>
        <w:pageBreakBefore w:val="0"/>
        <w:kinsoku/>
        <w:overflowPunct/>
        <w:topLinePunct w:val="0"/>
        <w:bidi w:val="0"/>
        <w:spacing w:line="360" w:lineRule="auto"/>
        <w:rPr>
          <w:rFonts w:ascii="黑体" w:hAnsi="黑体" w:eastAsia="黑体"/>
          <w:b w:val="0"/>
          <w:bCs w:val="0"/>
          <w:sz w:val="24"/>
          <w:szCs w:val="24"/>
        </w:rPr>
      </w:pPr>
      <w:bookmarkStart w:id="125" w:name="_Toc384797943"/>
      <w:bookmarkStart w:id="126" w:name="_Toc382322202"/>
      <w:bookmarkStart w:id="127" w:name="_Toc165711783"/>
      <w:r>
        <w:rPr>
          <w:rFonts w:hint="eastAsia" w:ascii="黑体" w:hAnsi="黑体" w:eastAsia="黑体"/>
          <w:b w:val="0"/>
          <w:bCs w:val="0"/>
          <w:sz w:val="24"/>
          <w:szCs w:val="24"/>
        </w:rPr>
        <w:t>能源数据计量</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管理系统支持多种能源种类的准确计量，主要借助智能化仪表的计量和通讯功能，应包括水、电、燃气、蒸汽、燃煤、燃油、压缩空气、水煤气等，采用的计量器具包括智能电表、远传水表、各类流量计、电气仪表等。</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w:t>
      </w:r>
      <w:bookmarkEnd w:id="125"/>
      <w:bookmarkEnd w:id="126"/>
      <w:bookmarkEnd w:id="127"/>
      <w:r>
        <w:rPr>
          <w:rFonts w:hint="eastAsia" w:ascii="黑体" w:hAnsi="黑体" w:eastAsia="黑体"/>
          <w:b w:val="0"/>
          <w:bCs w:val="0"/>
          <w:sz w:val="24"/>
          <w:szCs w:val="24"/>
        </w:rPr>
        <w:t>通讯</w:t>
      </w:r>
    </w:p>
    <w:p>
      <w:pPr>
        <w:pageBreakBefore w:val="0"/>
        <w:numPr>
          <w:ilvl w:val="0"/>
          <w:numId w:val="12"/>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w:t>
      </w:r>
      <w:r>
        <w:rPr>
          <w:rFonts w:hint="eastAsia" w:asciiTheme="minorEastAsia" w:hAnsiTheme="minorEastAsia" w:eastAsiaTheme="minorEastAsia" w:cstheme="minorEastAsia"/>
          <w:sz w:val="24"/>
          <w:szCs w:val="24"/>
          <w:lang w:val="en-US" w:eastAsia="zh-CN"/>
        </w:rPr>
        <w:t>带数字接口的电表、水表、燃气表、流量表、油表的数据采集</w:t>
      </w:r>
      <w:r>
        <w:rPr>
          <w:rFonts w:hint="eastAsia" w:ascii="宋体" w:hAnsi="宋体" w:cs="Arial Unicode MS"/>
          <w:color w:val="000000"/>
          <w:sz w:val="24"/>
        </w:rPr>
        <w:t>。</w:t>
      </w:r>
    </w:p>
    <w:p>
      <w:pPr>
        <w:pageBreakBefore w:val="0"/>
        <w:numPr>
          <w:ilvl w:val="0"/>
          <w:numId w:val="12"/>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数据</w:t>
      </w:r>
      <w:r>
        <w:rPr>
          <w:rFonts w:hint="eastAsia" w:asciiTheme="minorEastAsia" w:hAnsiTheme="minorEastAsia" w:eastAsiaTheme="minorEastAsia" w:cstheme="minorEastAsia"/>
          <w:sz w:val="24"/>
          <w:szCs w:val="24"/>
          <w:lang w:val="en-US" w:eastAsia="zh-CN"/>
        </w:rPr>
        <w:t>采集可通过拨号、网络、光纤等通道连接厂站端的采集终端。</w:t>
      </w:r>
    </w:p>
    <w:p>
      <w:pPr>
        <w:pageBreakBefore w:val="0"/>
        <w:numPr>
          <w:ilvl w:val="0"/>
          <w:numId w:val="12"/>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对</w:t>
      </w:r>
      <w:r>
        <w:rPr>
          <w:rFonts w:hint="eastAsia" w:asciiTheme="minorEastAsia" w:hAnsiTheme="minorEastAsia" w:eastAsiaTheme="minorEastAsia" w:cstheme="minorEastAsia"/>
          <w:sz w:val="24"/>
          <w:szCs w:val="24"/>
          <w:lang w:val="en-US" w:eastAsia="zh-CN"/>
        </w:rPr>
        <w:t>于PSTN支持自适应波特率300~56000Bit/s和记忆功能。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数据采集</w:t>
      </w:r>
    </w:p>
    <w:p>
      <w:pPr>
        <w:pageBreakBefore w:val="0"/>
        <w:numPr>
          <w:ilvl w:val="0"/>
          <w:numId w:val="13"/>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支持</w:t>
      </w:r>
      <w:r>
        <w:rPr>
          <w:rFonts w:hint="eastAsia" w:asciiTheme="minorEastAsia" w:hAnsiTheme="minorEastAsia" w:eastAsiaTheme="minorEastAsia" w:cstheme="minorEastAsia"/>
          <w:sz w:val="24"/>
          <w:szCs w:val="24"/>
          <w:lang w:val="en-US" w:eastAsia="zh-CN"/>
        </w:rPr>
        <w:t>自动对系统中所有计量点数据进行自动轮训、自动采集</w:t>
      </w:r>
    </w:p>
    <w:p>
      <w:pPr>
        <w:pageBreakBefore w:val="0"/>
        <w:numPr>
          <w:ilvl w:val="0"/>
          <w:numId w:val="13"/>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持自动周期采集和人工手动远程补抄，自动抄表方案可配置（5分钟~24小时）。</w:t>
      </w:r>
    </w:p>
    <w:p>
      <w:pPr>
        <w:pageBreakBefore w:val="0"/>
        <w:numPr>
          <w:ilvl w:val="0"/>
          <w:numId w:val="13"/>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支持数据传输正确性检验，异常数据自动标识。</w:t>
      </w:r>
    </w:p>
    <w:p>
      <w:pPr>
        <w:pageBreakBefore w:val="0"/>
        <w:numPr>
          <w:ilvl w:val="0"/>
          <w:numId w:val="13"/>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每日定时对所有数据采集终端自动对时。</w:t>
      </w:r>
    </w:p>
    <w:p>
      <w:pPr>
        <w:pageBreakBefore w:val="0"/>
        <w:numPr>
          <w:ilvl w:val="0"/>
          <w:numId w:val="13"/>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支持断点续传和通信任务自动恢复。</w:t>
      </w:r>
    </w:p>
    <w:p>
      <w:pPr>
        <w:pageBreakBefore w:val="0"/>
        <w:numPr>
          <w:ilvl w:val="0"/>
          <w:numId w:val="13"/>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能显示主站与终端通信进度和状态。</w:t>
      </w:r>
    </w:p>
    <w:p>
      <w:pPr>
        <w:pStyle w:val="6"/>
        <w:pageBreakBefore w:val="0"/>
        <w:kinsoku/>
        <w:overflowPunct/>
        <w:topLinePunct w:val="0"/>
        <w:bidi w:val="0"/>
        <w:spacing w:line="360" w:lineRule="auto"/>
        <w:rPr>
          <w:rFonts w:ascii="黑体" w:hAnsi="黑体" w:eastAsia="黑体"/>
          <w:b w:val="0"/>
          <w:bCs w:val="0"/>
          <w:sz w:val="24"/>
          <w:szCs w:val="24"/>
        </w:rPr>
      </w:pPr>
      <w:bookmarkStart w:id="128" w:name="_Toc382322203"/>
      <w:bookmarkStart w:id="129" w:name="_Toc165711784"/>
      <w:bookmarkStart w:id="130" w:name="_Toc81186776"/>
      <w:bookmarkStart w:id="131" w:name="_Toc55973837"/>
      <w:bookmarkStart w:id="132" w:name="_Toc75668847"/>
      <w:bookmarkStart w:id="133" w:name="_Toc384797944"/>
      <w:r>
        <w:rPr>
          <w:rFonts w:hint="eastAsia" w:ascii="黑体" w:hAnsi="黑体" w:eastAsia="黑体"/>
          <w:b w:val="0"/>
          <w:bCs w:val="0"/>
          <w:sz w:val="24"/>
          <w:szCs w:val="24"/>
        </w:rPr>
        <w:t>数据辨识、过滤</w:t>
      </w:r>
      <w:bookmarkEnd w:id="128"/>
      <w:bookmarkEnd w:id="129"/>
      <w:bookmarkEnd w:id="130"/>
      <w:bookmarkEnd w:id="131"/>
      <w:bookmarkEnd w:id="132"/>
      <w:bookmarkEnd w:id="133"/>
    </w:p>
    <w:p>
      <w:pPr>
        <w:pageBreakBefore w:val="0"/>
        <w:kinsoku/>
        <w:overflowPunct/>
        <w:topLinePunct w:val="0"/>
        <w:bidi w:val="0"/>
        <w:spacing w:line="360" w:lineRule="auto"/>
        <w:ind w:left="432" w:leftChars="180" w:firstLine="342"/>
        <w:rPr>
          <w:rFonts w:ascii="宋体" w:hAnsi="宋体"/>
          <w:color w:val="000000"/>
          <w:sz w:val="24"/>
        </w:rPr>
      </w:pPr>
      <w:r>
        <w:rPr>
          <w:rFonts w:hint="eastAsia" w:asciiTheme="minorEastAsia" w:hAnsiTheme="minorEastAsia" w:eastAsiaTheme="minorEastAsia" w:cstheme="minorEastAsia"/>
          <w:sz w:val="24"/>
          <w:szCs w:val="24"/>
          <w:lang w:val="en-US" w:eastAsia="zh-CN"/>
        </w:rPr>
        <w:t>采集数据合法性及完备性检验，自动辨识并报警，记录异常数据，提供多种自动和手动的数据修补方法，并确保原始数据的不可修改性。</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负数表码。</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计量器具倒走。</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单向表反向计量。</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瞬时量超阀值。</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计量器具事件报警，把相应的计量器具事件代码，转换成可阅读报警信息。</w:t>
      </w:r>
    </w:p>
    <w:p>
      <w:pPr>
        <w:pageBreakBefore w:val="0"/>
        <w:numPr>
          <w:ilvl w:val="0"/>
          <w:numId w:val="14"/>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ERTU及通信报警处理，把相应的错误代码，转换成可以阅读报警信息。</w:t>
      </w:r>
    </w:p>
    <w:p>
      <w:pPr>
        <w:pageBreakBefore w:val="0"/>
        <w:numPr>
          <w:ilvl w:val="0"/>
          <w:numId w:val="14"/>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系</w:t>
      </w:r>
      <w:r>
        <w:rPr>
          <w:rFonts w:hint="eastAsia" w:asciiTheme="minorEastAsia" w:hAnsiTheme="minorEastAsia" w:eastAsiaTheme="minorEastAsia" w:cstheme="minorEastAsia"/>
          <w:sz w:val="24"/>
          <w:szCs w:val="24"/>
          <w:lang w:val="en-US" w:eastAsia="zh-CN"/>
        </w:rPr>
        <w:t>统具有原始表码（底码）校正功能，校正数据另外保存，系统所有与此相关的分析数据、报表数据以校正数据进行重新计算。</w:t>
      </w:r>
    </w:p>
    <w:p>
      <w:pPr>
        <w:pageBreakBefore w:val="0"/>
        <w:numPr>
          <w:ilvl w:val="0"/>
          <w:numId w:val="14"/>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对</w:t>
      </w:r>
      <w:r>
        <w:rPr>
          <w:rFonts w:hint="eastAsia" w:asciiTheme="minorEastAsia" w:hAnsiTheme="minorEastAsia" w:eastAsiaTheme="minorEastAsia" w:cstheme="minorEastAsia"/>
          <w:sz w:val="24"/>
          <w:szCs w:val="24"/>
          <w:lang w:val="en-US" w:eastAsia="zh-CN"/>
        </w:rPr>
        <w:t>于漏抄或错抄的原始数据，提供直线插值修补，曲线平移修补等方法。</w:t>
      </w:r>
    </w:p>
    <w:p>
      <w:pPr>
        <w:pageBreakBefore w:val="0"/>
        <w:numPr>
          <w:ilvl w:val="0"/>
          <w:numId w:val="14"/>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对</w:t>
      </w:r>
      <w:r>
        <w:rPr>
          <w:rFonts w:hint="eastAsia" w:asciiTheme="minorEastAsia" w:hAnsiTheme="minorEastAsia" w:eastAsiaTheme="minorEastAsia" w:cstheme="minorEastAsia"/>
          <w:sz w:val="24"/>
          <w:szCs w:val="24"/>
          <w:lang w:val="en-US" w:eastAsia="zh-CN"/>
        </w:rPr>
        <w:t>于非冻结抄表返回的表码数据，按照一定的滑差精度，把时标规整到整点。</w:t>
      </w:r>
    </w:p>
    <w:p>
      <w:pPr>
        <w:pStyle w:val="6"/>
        <w:pageBreakBefore w:val="0"/>
        <w:kinsoku/>
        <w:overflowPunct/>
        <w:topLinePunct w:val="0"/>
        <w:bidi w:val="0"/>
        <w:spacing w:line="360" w:lineRule="auto"/>
        <w:rPr>
          <w:rFonts w:ascii="黑体" w:hAnsi="黑体" w:eastAsia="黑体"/>
          <w:b w:val="0"/>
          <w:bCs w:val="0"/>
          <w:sz w:val="24"/>
          <w:szCs w:val="24"/>
        </w:rPr>
      </w:pPr>
      <w:bookmarkStart w:id="134" w:name="_Toc79900492"/>
      <w:bookmarkStart w:id="135" w:name="_Toc207279252"/>
      <w:bookmarkStart w:id="136" w:name="_Toc382322204"/>
      <w:bookmarkStart w:id="137" w:name="_Toc384797945"/>
      <w:bookmarkStart w:id="138" w:name="_Toc164134144"/>
      <w:bookmarkStart w:id="139" w:name="_Toc81186777"/>
      <w:r>
        <w:rPr>
          <w:rFonts w:hint="eastAsia" w:ascii="黑体" w:hAnsi="黑体" w:eastAsia="黑体"/>
          <w:b w:val="0"/>
          <w:bCs w:val="0"/>
          <w:sz w:val="24"/>
          <w:szCs w:val="24"/>
        </w:rPr>
        <w:t>数据计算模块</w:t>
      </w:r>
      <w:bookmarkEnd w:id="134"/>
      <w:bookmarkEnd w:id="135"/>
      <w:bookmarkEnd w:id="136"/>
      <w:bookmarkEnd w:id="137"/>
      <w:bookmarkEnd w:id="138"/>
      <w:bookmarkEnd w:id="139"/>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自</w:t>
      </w:r>
      <w:r>
        <w:rPr>
          <w:rFonts w:hint="eastAsia" w:asciiTheme="minorEastAsia" w:hAnsiTheme="minorEastAsia" w:eastAsiaTheme="minorEastAsia" w:cstheme="minorEastAsia"/>
          <w:sz w:val="24"/>
          <w:szCs w:val="24"/>
          <w:lang w:val="en-US" w:eastAsia="zh-CN"/>
        </w:rPr>
        <w:t>动计算各类电量的最小间隔，小时，日，月，季，年电量。</w:t>
      </w:r>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根</w:t>
      </w:r>
      <w:r>
        <w:rPr>
          <w:rFonts w:hint="eastAsia" w:asciiTheme="minorEastAsia" w:hAnsiTheme="minorEastAsia" w:eastAsiaTheme="minorEastAsia" w:cstheme="minorEastAsia"/>
          <w:sz w:val="24"/>
          <w:szCs w:val="24"/>
          <w:lang w:val="en-US" w:eastAsia="zh-CN"/>
        </w:rPr>
        <w:t>据要求，分时段，分线路、分班组准确快速统计计费、考核、出线等各类电量信息。</w:t>
      </w:r>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准确</w:t>
      </w:r>
      <w:r>
        <w:rPr>
          <w:rFonts w:hint="eastAsia" w:asciiTheme="minorEastAsia" w:hAnsiTheme="minorEastAsia" w:eastAsiaTheme="minorEastAsia" w:cstheme="minorEastAsia"/>
          <w:sz w:val="24"/>
          <w:szCs w:val="24"/>
          <w:lang w:val="en-US" w:eastAsia="zh-CN"/>
        </w:rPr>
        <w:t>统计发电机组发电量、上网电量、下网电量、局供入、供出电量等指标。</w:t>
      </w:r>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按</w:t>
      </w:r>
      <w:r>
        <w:rPr>
          <w:rFonts w:hint="eastAsia" w:asciiTheme="minorEastAsia" w:hAnsiTheme="minorEastAsia" w:eastAsiaTheme="minorEastAsia" w:cstheme="minorEastAsia"/>
          <w:sz w:val="24"/>
          <w:szCs w:val="24"/>
          <w:lang w:val="en-US" w:eastAsia="zh-CN"/>
        </w:rPr>
        <w:t>日、月或任意时间段准确快速统计计算线损指标，包括线损、母线平衡、变损以及主备表误差等，并可进行多种方式的比较，可以绘制各类平衡情况的动态变化曲线。</w:t>
      </w:r>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持阀值的设置，并根据计算结果自动告警，极大地提高了用能分析和用能监察的水平。</w:t>
      </w:r>
    </w:p>
    <w:p>
      <w:pPr>
        <w:pageBreakBefore w:val="0"/>
        <w:numPr>
          <w:ilvl w:val="0"/>
          <w:numId w:val="15"/>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Theme="minorEastAsia" w:hAnsiTheme="minorEastAsia" w:eastAsiaTheme="minorEastAsia" w:cstheme="minorEastAsia"/>
          <w:sz w:val="24"/>
          <w:szCs w:val="24"/>
          <w:lang w:val="en-US" w:eastAsia="zh-CN"/>
        </w:rPr>
        <w:t>正确处理换表、满度归零、换互感器、旁路替代操作对电量统计的影响，计算时补充各种异常电量。</w:t>
      </w:r>
    </w:p>
    <w:p>
      <w:pPr>
        <w:pageBreakBefore w:val="0"/>
        <w:numPr>
          <w:ilvl w:val="0"/>
          <w:numId w:val="15"/>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w:t>
      </w:r>
      <w:r>
        <w:rPr>
          <w:rFonts w:hint="eastAsia" w:ascii="宋体" w:hAnsi="宋体" w:cs="Arial Unicode MS"/>
          <w:color w:val="000000"/>
          <w:sz w:val="24"/>
        </w:rPr>
        <w:t>原始采集数据，经授权修补/追补数据等参与计算。</w:t>
      </w:r>
    </w:p>
    <w:p>
      <w:pPr>
        <w:pageBreakBefore w:val="0"/>
        <w:numPr>
          <w:ilvl w:val="0"/>
          <w:numId w:val="15"/>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持定时/事件触发的自动计算或随时手动计算。</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数据录入</w:t>
      </w:r>
    </w:p>
    <w:p>
      <w:pPr>
        <w:pageBreakBefore w:val="0"/>
        <w:numPr>
          <w:ilvl w:val="0"/>
          <w:numId w:val="16"/>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持通过数据接口的方式从其它生产管理系统中获取能源相关数据、生产产量相关数据等。</w:t>
      </w:r>
    </w:p>
    <w:p>
      <w:pPr>
        <w:pageBreakBefore w:val="0"/>
        <w:numPr>
          <w:ilvl w:val="0"/>
          <w:numId w:val="16"/>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持人工录入的方式将未实现自动计量的能源数据录入至系统。</w:t>
      </w:r>
    </w:p>
    <w:p>
      <w:pPr>
        <w:pageBreakBefore w:val="0"/>
        <w:numPr>
          <w:ilvl w:val="0"/>
          <w:numId w:val="16"/>
        </w:numPr>
        <w:tabs>
          <w:tab w:val="left" w:pos="840"/>
        </w:tabs>
        <w:kinsoku/>
        <w:overflowPunct/>
        <w:topLinePunct w:val="0"/>
        <w:bidi w:val="0"/>
        <w:spacing w:line="360" w:lineRule="auto"/>
        <w:ind w:left="840" w:hanging="420"/>
        <w:rPr>
          <w:rFonts w:hint="eastAsia" w:asciiTheme="minorEastAsia" w:hAnsiTheme="minorEastAsia" w:eastAsiaTheme="minorEastAsia" w:cstheme="minorEastAsia"/>
          <w:sz w:val="24"/>
          <w:szCs w:val="24"/>
          <w:lang w:val="en-US" w:eastAsia="zh-CN"/>
        </w:rPr>
      </w:pPr>
      <w:r>
        <w:rPr>
          <w:rFonts w:hint="eastAsia" w:ascii="宋体" w:hAnsi="宋体" w:cs="Arial Unicode MS"/>
          <w:color w:val="000000"/>
          <w:sz w:val="24"/>
        </w:rPr>
        <w:t>支</w:t>
      </w:r>
      <w:r>
        <w:rPr>
          <w:rFonts w:hint="eastAsia" w:asciiTheme="minorEastAsia" w:hAnsiTheme="minorEastAsia" w:eastAsiaTheme="minorEastAsia" w:cstheme="minorEastAsia"/>
          <w:sz w:val="24"/>
          <w:szCs w:val="24"/>
          <w:lang w:val="en-US" w:eastAsia="zh-CN"/>
        </w:rPr>
        <w:t>持人工录入的方式将生产产量等相关数据录入至系统中。</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数据存储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采用商业数据库按照能源管理系统要求将采集或录入的能源数据、产量数据进行存储，并可根据后续业务需要进行检索和查询。</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支持至少三年的历史能源数据存储。</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支持存储数据的查询和检索。</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对于大数据存储采用分表存储方式，提高系统检索和查询的速度。</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支持能源一次数据、二次数据、计算数据、报表数据等数据的存储。</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不同计量点的不同数据可以设置不同的数据存储周期，以更加合理的储存数据。</w:t>
      </w:r>
    </w:p>
    <w:p>
      <w:pPr>
        <w:pageBreakBefore w:val="0"/>
        <w:numPr>
          <w:ilvl w:val="0"/>
          <w:numId w:val="17"/>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通过循环备份、异地备份和容灾方案等方式保证数据的安全性。</w:t>
      </w:r>
    </w:p>
    <w:p>
      <w:pPr>
        <w:pStyle w:val="5"/>
        <w:pageBreakBefore w:val="0"/>
        <w:kinsoku/>
        <w:overflowPunct/>
        <w:topLinePunct w:val="0"/>
        <w:bidi w:val="0"/>
        <w:spacing w:line="360" w:lineRule="auto"/>
        <w:ind w:left="864" w:leftChars="0" w:hanging="864" w:firstLineChars="0"/>
        <w:rPr>
          <w:rFonts w:hint="eastAsia"/>
        </w:rPr>
      </w:pPr>
      <w:r>
        <w:rPr>
          <w:rFonts w:hint="eastAsia"/>
        </w:rPr>
        <w:t>能源基础管理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实现对能源基础信息的管理，是开展企业能源统计、分析与决策的数据基础，能耗基础管理内容包括系统能源类型、设备类型、用能单元、产品信息、班组信息、统计周期等相关信息的配置管理。</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能源类别配置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企业能源使用到的能源类型及标煤折算系数等设置。 系统支持多种能源种类的准确计量，主要借助智能化仪表的计量和通讯功能，包括水、电、燃气、蒸汽、燃煤、燃油、压缩空气、水煤气等，采用的计量器具包括智能电表、远传水表、各类流量计、皮带秤、电气仪表等。</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设备类型管理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系统对计量表具设备和一体化通讯采集设备进行档案管理，标示其安装位置、配置参数、更换记录和故障记录，方便系统维护人员对其进行管理和维护。</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系统对监测管理的重点用能设备信息进行档案管理，表示其安装位置、运行参数和设备用途等。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用能单元（车间、产线、工序等）的维护、调整以及层级关系维护、调整。</w:t>
      </w:r>
    </w:p>
    <w:p>
      <w:pPr>
        <w:pageBreakBefore w:val="0"/>
        <w:numPr>
          <w:ilvl w:val="0"/>
          <w:numId w:val="18"/>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支持带数字接口的电表、水表、燃气表、流量表、油表的数据采集。</w:t>
      </w:r>
    </w:p>
    <w:p>
      <w:pPr>
        <w:pageBreakBefore w:val="0"/>
        <w:numPr>
          <w:ilvl w:val="0"/>
          <w:numId w:val="18"/>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数据采集可通过4G、网络、光纤等通道连接的一体化装置。</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维护用能单元档案信息，并配置好用能单元与设备关系、用能单元与统计周期关系。</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支持自动对系统中所有计量点数据进行自动轮训、自动采集</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支持自动周期采集和人工手动远程补抄，自动抄表方案可配置（5分钟~24小时）。</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支持数据传输正确性检验，异常数据自动标识。</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每日定时对所有数据采集终端自动对时。</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支持断点续传和通信任务自动恢复。</w:t>
      </w:r>
    </w:p>
    <w:p>
      <w:pPr>
        <w:pageBreakBefore w:val="0"/>
        <w:numPr>
          <w:ilvl w:val="0"/>
          <w:numId w:val="19"/>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能显示主站与一体化装置通信进度和状态。</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产品信息管理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维护产品档案信息，并配置好产品与设备关系（产品与设备关系表）。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设备数据合法性及完备性检验，自动辨识并报警，记录异常数据，提供多种自动和手动的数据修补方法，并确保原始数据的不可修改性。</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负数表码。</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计量器具倒走。</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单向表反向计量。</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瞬时量超阀值。</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计量器具事件报警，把相应的计量器具事件代码，转换成可阅读报警信息。</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ERTU及通信报警处理，把相应的错误代码，转换成可以阅读报警信息。</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系</w:t>
      </w:r>
      <w:r>
        <w:rPr>
          <w:rFonts w:hint="eastAsia" w:asciiTheme="minorEastAsia" w:hAnsiTheme="minorEastAsia" w:eastAsiaTheme="minorEastAsia" w:cstheme="minorEastAsia"/>
          <w:sz w:val="24"/>
          <w:szCs w:val="24"/>
          <w:lang w:val="en-US" w:eastAsia="zh-CN"/>
        </w:rPr>
        <w:t>统具有原始表码（底码）校正功能，校正数据另外保存，系统所有与此相关的分析数据、报表数据以校正数据进行重新计算。</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对于漏抄或错抄的原始数据，提供直线插值修补，曲线平移修补等方法。</w:t>
      </w:r>
    </w:p>
    <w:p>
      <w:pPr>
        <w:pageBreakBefore w:val="0"/>
        <w:numPr>
          <w:ilvl w:val="0"/>
          <w:numId w:val="20"/>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对于非冻结抄表返回的表码数据，按照一定的滑差精度，把时标规整到整点。</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班组信息管理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维护班组档案信息，并配置好班组与设备关系。</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统计周期定义</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定义系统数据的统计分析周期。</w:t>
      </w:r>
    </w:p>
    <w:p>
      <w:pPr>
        <w:pStyle w:val="5"/>
        <w:pageBreakBefore w:val="0"/>
        <w:kinsoku/>
        <w:overflowPunct/>
        <w:topLinePunct w:val="0"/>
        <w:bidi w:val="0"/>
        <w:spacing w:line="360" w:lineRule="auto"/>
        <w:ind w:left="864" w:leftChars="0" w:hanging="864" w:firstLineChars="0"/>
        <w:rPr>
          <w:rFonts w:hint="eastAsia"/>
        </w:rPr>
      </w:pPr>
      <w:r>
        <w:rPr>
          <w:rFonts w:hint="eastAsia"/>
        </w:rPr>
        <w:t>能耗设备管理</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设备台账管理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维护设备档案信息。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设备调试</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在线调试现场设备，包含终端档案下发、档案召测、对时、阈值参数设置等。</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设备状态监测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监测设备状态，实时抄读设备，获取设备数据及状态信息。</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系统支持对重点用能设备的能耗和运行状态的实时监测，通过对设备运行状态参数（启停状态、功率负荷、输入输出状态等）监测设备是否处于正常运行状态，并实时反馈设备能源消耗情况及用能效率。</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设备故障告警</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对获取到的现场发生故障的设备告警信息的及时提醒。</w:t>
      </w:r>
    </w:p>
    <w:p>
      <w:pPr>
        <w:pStyle w:val="5"/>
        <w:pageBreakBefore w:val="0"/>
        <w:kinsoku/>
        <w:overflowPunct/>
        <w:topLinePunct w:val="0"/>
        <w:bidi w:val="0"/>
        <w:spacing w:line="360" w:lineRule="auto"/>
        <w:ind w:left="864" w:leftChars="0" w:hanging="864" w:firstLineChars="0"/>
        <w:rPr>
          <w:rFonts w:hint="eastAsia"/>
        </w:rPr>
      </w:pPr>
      <w:r>
        <w:rPr>
          <w:rFonts w:hint="eastAsia"/>
        </w:rPr>
        <w:t>能源数据管理</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用能数据采集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包含设备数据定时/实时数据采集、用能设备数据人工录入、产品产量数据录入。</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支持自动对系统中所有计量点数据进行自动轮训、自动采集</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支持自动周期采集和人工手动远程补抄，自动抄表方案可配置（5分钟~24小时）。</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支持数据传输正确性检验，异常数据自动标识。</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每日定时对所有数据采集终端自动对时。</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支持断点续传和通信任务自动恢复。</w:t>
      </w:r>
    </w:p>
    <w:p>
      <w:pPr>
        <w:pageBreakBefore w:val="0"/>
        <w:numPr>
          <w:ilvl w:val="0"/>
          <w:numId w:val="21"/>
        </w:numPr>
        <w:tabs>
          <w:tab w:val="left" w:pos="840"/>
        </w:tabs>
        <w:kinsoku/>
        <w:overflowPunct/>
        <w:topLinePunct w:val="0"/>
        <w:bidi w:val="0"/>
        <w:spacing w:line="360" w:lineRule="auto"/>
        <w:ind w:left="840" w:hanging="420"/>
        <w:rPr>
          <w:rFonts w:ascii="宋体" w:hAnsi="宋体" w:cs="Arial Unicode MS"/>
          <w:color w:val="000000"/>
          <w:sz w:val="24"/>
        </w:rPr>
      </w:pPr>
      <w:r>
        <w:rPr>
          <w:rFonts w:hint="eastAsia" w:ascii="宋体" w:hAnsi="宋体" w:cs="Arial Unicode MS"/>
          <w:color w:val="000000"/>
          <w:sz w:val="24"/>
        </w:rPr>
        <w:t>能显示主站与终端通信进度和状态。</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用能数据计算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自动计算各类能耗数据的最小间隔，小时，日，月，季，年用量。根据要求，分时段，分线路、分班组准确快速统计各类用量信息。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用能数据查询</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可从设备维度查询设备用量及对比分析，从用能单元维度查询用能单元用量及对比，从班组维度查询班组用量及对比，从产品维度查询单位产品用能。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可从小时，日，月，季，年等时间维度进行查询统计。</w:t>
      </w:r>
    </w:p>
    <w:p>
      <w:pPr>
        <w:pStyle w:val="5"/>
        <w:pageBreakBefore w:val="0"/>
        <w:kinsoku/>
        <w:overflowPunct/>
        <w:topLinePunct w:val="0"/>
        <w:bidi w:val="0"/>
        <w:spacing w:line="360" w:lineRule="auto"/>
        <w:ind w:left="864" w:leftChars="0" w:hanging="864" w:firstLineChars="0"/>
        <w:rPr>
          <w:rFonts w:hint="eastAsia"/>
        </w:rPr>
      </w:pPr>
      <w:r>
        <w:rPr>
          <w:rFonts w:hint="eastAsia"/>
        </w:rPr>
        <w:t>用能诊断分析</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用能异常诊断</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根据用户填报和设备采集的能源用量数据，从整个企业的维度分析用能数据，纵向比较，找出异常的能源消耗，为企业做节能分析做数据支撑。</w:t>
      </w:r>
    </w:p>
    <w:p>
      <w:pPr>
        <w:pStyle w:val="6"/>
        <w:pageBreakBefore w:val="0"/>
        <w:kinsoku/>
        <w:overflowPunct/>
        <w:topLinePunct w:val="0"/>
        <w:bidi w:val="0"/>
        <w:spacing w:before="240" w:after="240" w:line="360" w:lineRule="auto"/>
        <w:rPr>
          <w:rFonts w:ascii="黑体" w:hAnsi="黑体" w:eastAsia="黑体"/>
          <w:b w:val="0"/>
          <w:bCs w:val="0"/>
          <w:sz w:val="24"/>
          <w:szCs w:val="24"/>
        </w:rPr>
      </w:pPr>
      <w:r>
        <w:rPr>
          <w:rFonts w:hint="eastAsia" w:ascii="黑体" w:hAnsi="黑体" w:eastAsia="黑体"/>
          <w:b w:val="0"/>
          <w:bCs w:val="0"/>
          <w:sz w:val="24"/>
          <w:szCs w:val="24"/>
        </w:rPr>
        <w:t>用能时段诊断</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根据用户填报和设备采集的能源用量数据，以天或者月为单位横向比较各产品线各工作时段能源消耗量，为企业在节约用能的基础上组织生产排班提供数据支撑。</w:t>
      </w:r>
    </w:p>
    <w:p>
      <w:pPr>
        <w:pStyle w:val="6"/>
        <w:pageBreakBefore w:val="0"/>
        <w:kinsoku/>
        <w:overflowPunct/>
        <w:topLinePunct w:val="0"/>
        <w:bidi w:val="0"/>
        <w:spacing w:before="120" w:after="120" w:line="360" w:lineRule="auto"/>
        <w:rPr>
          <w:rFonts w:ascii="黑体" w:hAnsi="黑体" w:eastAsia="黑体"/>
          <w:b w:val="0"/>
          <w:bCs w:val="0"/>
          <w:sz w:val="24"/>
          <w:szCs w:val="24"/>
        </w:rPr>
      </w:pPr>
      <w:r>
        <w:rPr>
          <w:rFonts w:hint="eastAsia" w:ascii="黑体" w:hAnsi="黑体" w:eastAsia="黑体"/>
          <w:b w:val="0"/>
          <w:bCs w:val="0"/>
          <w:sz w:val="24"/>
          <w:szCs w:val="24"/>
        </w:rPr>
        <w:t>用能损耗诊断</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以天或月为单位分类统计区域、车间等用能单元，能源的损耗情况。</w:t>
      </w:r>
    </w:p>
    <w:p>
      <w:pPr>
        <w:pStyle w:val="6"/>
        <w:pageBreakBefore w:val="0"/>
        <w:kinsoku/>
        <w:overflowPunct/>
        <w:topLinePunct w:val="0"/>
        <w:bidi w:val="0"/>
        <w:spacing w:before="120" w:after="120" w:line="360" w:lineRule="auto"/>
        <w:rPr>
          <w:rFonts w:ascii="黑体" w:hAnsi="黑体" w:eastAsia="黑体"/>
          <w:b w:val="0"/>
          <w:bCs w:val="0"/>
          <w:sz w:val="24"/>
          <w:szCs w:val="24"/>
        </w:rPr>
      </w:pPr>
      <w:r>
        <w:rPr>
          <w:rFonts w:hint="eastAsia" w:ascii="黑体" w:hAnsi="黑体" w:eastAsia="黑体"/>
          <w:b w:val="0"/>
          <w:bCs w:val="0"/>
          <w:sz w:val="24"/>
          <w:szCs w:val="24"/>
        </w:rPr>
        <w:t xml:space="preserve">设备能耗诊断 </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以</w:t>
      </w:r>
      <w:r>
        <w:rPr>
          <w:rFonts w:hint="eastAsia" w:asciiTheme="minorEastAsia" w:hAnsiTheme="minorEastAsia" w:eastAsiaTheme="minorEastAsia" w:cstheme="minorEastAsia"/>
          <w:sz w:val="24"/>
          <w:szCs w:val="24"/>
          <w:lang w:val="en-US" w:eastAsia="zh-CN"/>
        </w:rPr>
        <w:t>设备为单位纵向分析设备能源的消耗数据信息；以时间为单位横向对比同类设备的能源消耗情况，为企业提高设备利用率提供数据支撑。</w:t>
      </w:r>
    </w:p>
    <w:p>
      <w:pPr>
        <w:pStyle w:val="6"/>
        <w:pageBreakBefore w:val="0"/>
        <w:kinsoku/>
        <w:overflowPunct/>
        <w:topLinePunct w:val="0"/>
        <w:bidi w:val="0"/>
        <w:spacing w:before="120" w:after="120" w:line="360" w:lineRule="auto"/>
        <w:rPr>
          <w:rFonts w:ascii="黑体" w:hAnsi="黑体" w:eastAsia="黑体"/>
          <w:b w:val="0"/>
          <w:bCs w:val="0"/>
          <w:sz w:val="24"/>
          <w:szCs w:val="24"/>
        </w:rPr>
      </w:pPr>
      <w:r>
        <w:rPr>
          <w:rFonts w:hint="eastAsia" w:ascii="黑体" w:hAnsi="黑体" w:eastAsia="黑体"/>
          <w:b w:val="0"/>
          <w:bCs w:val="0"/>
          <w:sz w:val="24"/>
          <w:szCs w:val="24"/>
        </w:rPr>
        <w:t>能效模型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照企业生产管理的需求将企业划分成为从上至下的能效分析模型对象，从用能设备、生产班组、工艺流程、分厂/分车间、分公司、全厂的不同维度来统计分析能源使用情况，包括占比、效率、变化趋势和用能费用等，并根据能效模型来初步判断模型对象的用能状况。</w:t>
      </w:r>
    </w:p>
    <w:p>
      <w:pPr>
        <w:pageBreakBefore w:val="0"/>
        <w:kinsoku/>
        <w:overflowPunct/>
        <w:topLinePunct w:val="0"/>
        <w:bidi w:val="0"/>
        <w:spacing w:line="360" w:lineRule="auto"/>
      </w:pPr>
      <w:r>
        <w:drawing>
          <wp:inline distT="0" distB="0" distL="0" distR="0">
            <wp:extent cx="5316855" cy="2466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350810" cy="2482801"/>
                    </a:xfrm>
                    <a:prstGeom prst="rect">
                      <a:avLst/>
                    </a:prstGeom>
                  </pic:spPr>
                </pic:pic>
              </a:graphicData>
            </a:graphic>
          </wp:inline>
        </w:drawing>
      </w:r>
    </w:p>
    <w:p>
      <w:pPr>
        <w:pStyle w:val="11"/>
        <w:pageBreakBefore w:val="0"/>
        <w:kinsoku/>
        <w:overflowPunct/>
        <w:topLinePunct w:val="0"/>
        <w:bidi w:val="0"/>
        <w:spacing w:line="360" w:lineRule="auto"/>
        <w:ind w:firstLine="420"/>
        <w:jc w:val="center"/>
        <w:rPr>
          <w:rFonts w:ascii="黑体" w:hAnsi="黑体" w:eastAsia="宋体"/>
        </w:rPr>
      </w:pPr>
      <w:r>
        <w:t>图3</w:t>
      </w:r>
      <w:r>
        <w:rPr>
          <w:rFonts w:hint="eastAsia"/>
        </w:rPr>
        <w:t>-</w:t>
      </w:r>
      <w:r>
        <w:t xml:space="preserve">4  </w:t>
      </w:r>
      <w:r>
        <w:rPr>
          <w:rFonts w:hint="eastAsia"/>
        </w:rPr>
        <w:t>能效模型数据</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能源库存管理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针对需要采购的能源，对其入库进行简单的登记、查询、修改。</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能源流向图</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对企业内所有用能的计量采集和统计分析，将企业内所有能源按照生产工艺流程的方式体现出能源的流向，形成企业能源流向图，可直观了解企业用能的组成，能源转换的形式，各分厂/车间/工艺线的能源占比等数据，以及各个环节的能效损耗情况。</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以能源在产生和各用能单元中的分配转换和消耗过程为主线，直观地看出不同用能单元之间的能量输入输出关系。</w:t>
      </w:r>
    </w:p>
    <w:p>
      <w:pPr>
        <w:pStyle w:val="11"/>
        <w:pageBreakBefore w:val="0"/>
        <w:kinsoku/>
        <w:overflowPunct/>
        <w:topLinePunct w:val="0"/>
        <w:bidi w:val="0"/>
        <w:spacing w:line="360" w:lineRule="auto"/>
        <w:ind w:firstLine="420"/>
        <w:jc w:val="center"/>
      </w:pPr>
      <w:r>
        <w:drawing>
          <wp:anchor distT="0" distB="0" distL="114300" distR="114300" simplePos="0" relativeHeight="251664384" behindDoc="1" locked="0" layoutInCell="1" allowOverlap="1">
            <wp:simplePos x="0" y="0"/>
            <wp:positionH relativeFrom="column">
              <wp:posOffset>293370</wp:posOffset>
            </wp:positionH>
            <wp:positionV relativeFrom="paragraph">
              <wp:posOffset>66040</wp:posOffset>
            </wp:positionV>
            <wp:extent cx="5035550" cy="2611120"/>
            <wp:effectExtent l="0" t="0" r="8890" b="10160"/>
            <wp:wrapTight wrapText="bothSides">
              <wp:wrapPolygon>
                <wp:start x="0" y="0"/>
                <wp:lineTo x="0" y="21432"/>
                <wp:lineTo x="21507" y="21432"/>
                <wp:lineTo x="21507" y="0"/>
                <wp:lineTo x="0" y="0"/>
              </wp:wrapPolygon>
            </wp:wrapTight>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19"/>
                    <a:stretch>
                      <a:fillRect/>
                    </a:stretch>
                  </pic:blipFill>
                  <pic:spPr>
                    <a:xfrm>
                      <a:off x="0" y="0"/>
                      <a:ext cx="5035550" cy="2611120"/>
                    </a:xfrm>
                    <a:prstGeom prst="rect">
                      <a:avLst/>
                    </a:prstGeom>
                    <a:noFill/>
                    <a:ln>
                      <a:noFill/>
                    </a:ln>
                  </pic:spPr>
                </pic:pic>
              </a:graphicData>
            </a:graphic>
          </wp:anchor>
        </w:drawing>
      </w:r>
    </w:p>
    <w:p>
      <w:pPr>
        <w:pStyle w:val="11"/>
        <w:pageBreakBefore w:val="0"/>
        <w:kinsoku/>
        <w:overflowPunct/>
        <w:topLinePunct w:val="0"/>
        <w:bidi w:val="0"/>
        <w:spacing w:line="360" w:lineRule="auto"/>
        <w:ind w:firstLine="420"/>
        <w:jc w:val="center"/>
      </w:pPr>
    </w:p>
    <w:p>
      <w:pPr>
        <w:pStyle w:val="11"/>
        <w:pageBreakBefore w:val="0"/>
        <w:kinsoku/>
        <w:overflowPunct/>
        <w:topLinePunct w:val="0"/>
        <w:bidi w:val="0"/>
        <w:spacing w:line="360" w:lineRule="auto"/>
        <w:ind w:firstLine="420"/>
        <w:jc w:val="center"/>
      </w:pP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图3</w:t>
      </w:r>
      <w:r>
        <w:rPr>
          <w:rFonts w:hint="eastAsia"/>
        </w:rPr>
        <w:t>-</w:t>
      </w:r>
      <w:r>
        <w:t xml:space="preserve">5  </w:t>
      </w:r>
      <w:r>
        <w:rPr>
          <w:rFonts w:hint="eastAsia"/>
        </w:rPr>
        <w:t>能源流向图</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能耗预测分析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单位产品能耗预测：通过单位产品历史能耗数据生成下期产品的单位能耗预测数据，用户根据实践需求自行调整单位产品能耗。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能源消耗计划预测：预测下期需要消耗的各类能源数量。根据预测的产品单耗和计划产能生成能源需求预测数。用户可根据实践需求对预测数据进行调整。</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能源购入需求预测：根据库存能源数量以及能源消耗预测量，预测下期各类能源的购入量，可根据实践情况修改。</w:t>
      </w:r>
    </w:p>
    <w:p>
      <w:pPr>
        <w:pStyle w:val="5"/>
        <w:pageBreakBefore w:val="0"/>
        <w:kinsoku/>
        <w:overflowPunct/>
        <w:topLinePunct w:val="0"/>
        <w:bidi w:val="0"/>
        <w:spacing w:line="360" w:lineRule="auto"/>
        <w:ind w:left="864" w:leftChars="0" w:hanging="864" w:firstLineChars="0"/>
        <w:rPr>
          <w:rFonts w:hint="eastAsia"/>
        </w:rPr>
      </w:pPr>
      <w:r>
        <w:rPr>
          <w:rFonts w:hint="eastAsia"/>
        </w:rPr>
        <w:t>重点用能单元用能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企业按建筑区域或生产工序等不同的维度划分成不同级别的用能单元并把计量设备接入到各个用能单元。后台自动采集数据并计算各用能单元各周期（日、月、年等）各类（电、水、气、热）能源的消耗情况。</w:t>
      </w:r>
    </w:p>
    <w:p>
      <w:pPr>
        <w:pageBreakBefore w:val="0"/>
        <w:kinsoku/>
        <w:overflowPunct/>
        <w:topLinePunct w:val="0"/>
        <w:bidi w:val="0"/>
        <w:spacing w:line="360" w:lineRule="auto"/>
        <w:jc w:val="center"/>
        <w:rPr>
          <w:rFonts w:ascii="宋体" w:hAnsi="宋体"/>
          <w:sz w:val="24"/>
        </w:rPr>
      </w:pPr>
      <w:r>
        <w:rPr>
          <w:rFonts w:ascii="宋体" w:hAnsi="宋体"/>
          <w:sz w:val="24"/>
        </w:rPr>
        <w:drawing>
          <wp:inline distT="0" distB="0" distL="114300" distR="114300">
            <wp:extent cx="5374005" cy="419100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5382429" cy="4197454"/>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rPr>
          <w:rFonts w:hint="eastAsia"/>
        </w:rPr>
        <w:t>图3-</w:t>
      </w:r>
      <w:r>
        <w:t xml:space="preserve">6  </w:t>
      </w:r>
      <w:r>
        <w:rPr>
          <w:rFonts w:hint="eastAsia"/>
        </w:rPr>
        <w:t>重点用能单元用能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用能单元用能综合查询</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前端用表格、图表等不同形式展示用能单元的能耗情况，用户可以查询指定用能单元、不同周期、不同类型的用能情况。</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用能单元能耗结构分析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针对重点用能单元，按日或月分析各类能源的占比情况。</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用能单元能耗排名分析</w:t>
      </w:r>
    </w:p>
    <w:p>
      <w:pPr>
        <w:pageBreakBefore w:val="0"/>
        <w:kinsoku/>
        <w:overflowPunct/>
        <w:topLinePunct w:val="0"/>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按</w:t>
      </w:r>
      <w:r>
        <w:rPr>
          <w:rFonts w:hint="eastAsia" w:asciiTheme="minorEastAsia" w:hAnsiTheme="minorEastAsia" w:eastAsiaTheme="minorEastAsia" w:cstheme="minorEastAsia"/>
          <w:sz w:val="24"/>
          <w:szCs w:val="24"/>
          <w:lang w:val="en-US" w:eastAsia="zh-CN"/>
        </w:rPr>
        <w:t>日或月横向比较所有用量单元，找出高能耗的用能单元，分析其具体用能情况，为企业的节能提供数据支撑。</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 xml:space="preserve">用能单元用能指标 </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系统按照能源管理体系的要求根据生产实践情况为用能单元制定月、年用能指标。对所有用能单元实行用电、用水等指标管理，管理部门进行考核及通过管理节能方式促进行为节能。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用能单元用能考核</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系统根据用能单元用能指标和实践用能情况自动生成考核结果。</w:t>
      </w:r>
    </w:p>
    <w:p>
      <w:pPr>
        <w:pStyle w:val="5"/>
        <w:pageBreakBefore w:val="0"/>
        <w:kinsoku/>
        <w:overflowPunct/>
        <w:topLinePunct w:val="0"/>
        <w:bidi w:val="0"/>
        <w:spacing w:line="360" w:lineRule="auto"/>
        <w:ind w:left="864" w:leftChars="0" w:hanging="864" w:firstLineChars="0"/>
        <w:rPr>
          <w:rFonts w:hint="eastAsia"/>
        </w:rPr>
      </w:pPr>
      <w:r>
        <w:rPr>
          <w:rFonts w:hint="eastAsia"/>
        </w:rPr>
        <w:t>重点设备用能</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年度分类能耗量：年度耗电量、年度燃料（煤、气、油等）消耗量、年度集中供热量、年度水耗量等；</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年度分类水耗量：市政自来水耗量、非传统水（雨水、中水）耗量；</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设备能耗综合查询</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后端以设备维度统计企业所有设备各个周期（日、月、年等）各类能源（电、水、气、热）的用量。前端用表格、图表等不同形式展示设备的能耗信息。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设备能耗排名分析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按设备类型分类以柱状图、饼图等图表形式展示设备能耗情况、排名、找出高耗能设备。</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设备负荷分析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针对高耗能设备，跟踪和分析设备的日用电负荷，找出高负荷时段、为用户削峰填谷，合理安排生产降低用能成本提供数据。</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设备最大需量分析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分设备的最大需量数据，为企业申请合适的需量提供精确的数据支撑。</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电能质量监测</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针对重点用能设备，系统后端实时采集电压、电流、频率、功率、谐波、间谐波、三相不平衡等数据、实时监测、抓取其超下限、下下限、上限、上上限等数据。定期形成报表。</w:t>
      </w:r>
    </w:p>
    <w:p>
      <w:pPr>
        <w:pStyle w:val="5"/>
        <w:pageBreakBefore w:val="0"/>
        <w:kinsoku/>
        <w:overflowPunct/>
        <w:topLinePunct w:val="0"/>
        <w:bidi w:val="0"/>
        <w:spacing w:line="360" w:lineRule="auto"/>
        <w:ind w:left="864" w:leftChars="0" w:hanging="864" w:firstLineChars="0"/>
        <w:rPr>
          <w:rFonts w:hint="eastAsia"/>
        </w:rPr>
      </w:pPr>
      <w:r>
        <w:rPr>
          <w:rFonts w:hint="eastAsia"/>
        </w:rPr>
        <w:t>产品/重点工序用能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产品能耗综合查询</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后端从产品维度统计各个周期（日、月）各类能源（电、水、气、热）的用量。前端用表格、图表等不同形式展示产品的能耗信息。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工序能耗综合查询</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后端从工序维度统计各个周期（日、月）各类能源（电、水、气、热）的用量。前端用表格、图表等不同形式展示工序的能耗信息。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单位产品能耗分析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端根据各个周期（日、月）每类产品的能源消耗和产品的实际产量计算出产品各类能源（电、水、气、热）的单位消耗量。前端用表格、图表等不同形式展示同时期不同产品的单耗以及不同时期同一产品的单耗情况。</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按生产用能、辅助用能等分类计量各分公司、车间日、月、年耗能量，按生产线计量各轮班的日、月生产总耗能量，结合产量信息，方便有效、合理地进行生产成本核算。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正确计算单位产品或单位产值的能耗水平及在行业中所处地位；正确计算各生产工序的单位能耗，实现准确的查明产品能耗节（超）产生的具体原因。</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产品能耗对标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企业产品的月单耗与国家标准、国内先进、以及本企业上月指标对比，找出差距，分析问题，促使企业更好的利用能源。</w:t>
      </w:r>
    </w:p>
    <w:p>
      <w:pPr>
        <w:pStyle w:val="5"/>
        <w:pageBreakBefore w:val="0"/>
        <w:kinsoku/>
        <w:overflowPunct/>
        <w:topLinePunct w:val="0"/>
        <w:bidi w:val="0"/>
        <w:spacing w:line="360" w:lineRule="auto"/>
        <w:ind w:left="864" w:leftChars="0" w:hanging="864" w:firstLineChars="0"/>
        <w:rPr>
          <w:rFonts w:hint="eastAsia"/>
        </w:rPr>
      </w:pPr>
      <w:r>
        <w:rPr>
          <w:rFonts w:hint="eastAsia"/>
        </w:rPr>
        <w:t>能耗报表</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用能单元能耗报表</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按用能对象统计指定时间段内的能耗使用情况；可按时间段、日、月、年进行统计。</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产品/工序能耗报表</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输出按产品/工序统计指定时间段内的能耗使用情况；可按时间段、日、月、年进行统计。</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设备能耗报表</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输出按设备统计指定时间段内的能耗使用情况；可按时间段、日、月、年进行统计。</w:t>
      </w:r>
    </w:p>
    <w:p>
      <w:pPr>
        <w:pStyle w:val="5"/>
        <w:pageBreakBefore w:val="0"/>
        <w:kinsoku/>
        <w:overflowPunct/>
        <w:topLinePunct w:val="0"/>
        <w:bidi w:val="0"/>
        <w:spacing w:line="360" w:lineRule="auto"/>
        <w:ind w:left="864" w:leftChars="0" w:hanging="864" w:firstLineChars="0"/>
        <w:rPr>
          <w:rFonts w:hint="eastAsia"/>
        </w:rPr>
      </w:pPr>
      <w:r>
        <w:rPr>
          <w:rFonts w:hint="eastAsia"/>
        </w:rPr>
        <w:t>系统管理</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系统日志</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查看用户登录/退出系统、修改密码、修改设置、进行设备控制等信息，可查看每条信息的用户、计算机、发生时间、操作对象、更改内容等。</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用户管理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添加/删除用户、修改用户密码、设置角色。</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角色管理</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添加/删除角色、修改角色名称、分配各角色功能权限。</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40" w:name="_Toc21128"/>
      <w:bookmarkStart w:id="141" w:name="_Toc11714"/>
      <w:bookmarkStart w:id="142" w:name="_Toc13453"/>
      <w:r>
        <w:rPr>
          <w:rFonts w:hint="eastAsia"/>
          <w:lang w:val="en-US" w:eastAsia="zh-CN"/>
        </w:rPr>
        <w:t>企业需求侧管理模块</w:t>
      </w:r>
      <w:bookmarkEnd w:id="140"/>
      <w:bookmarkEnd w:id="141"/>
      <w:bookmarkEnd w:id="142"/>
    </w:p>
    <w:p>
      <w:pPr>
        <w:pStyle w:val="5"/>
        <w:pageBreakBefore w:val="0"/>
        <w:kinsoku/>
        <w:overflowPunct/>
        <w:topLinePunct w:val="0"/>
        <w:bidi w:val="0"/>
        <w:spacing w:line="360" w:lineRule="auto"/>
        <w:ind w:left="864" w:leftChars="0" w:hanging="864" w:firstLineChars="0"/>
        <w:rPr>
          <w:rFonts w:hint="eastAsia"/>
        </w:rPr>
      </w:pPr>
      <w:r>
        <w:rPr>
          <w:rFonts w:hint="eastAsia"/>
        </w:rPr>
        <w:t>数据监测</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根据企业能源节能规划需要，对企业的重点耗能设备用能数据进行监测和分析。</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基础数据</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提供监测点一般表码和冻结表码数据和需量查询；</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提供监测点电流、电压、有功功率、无功功率、功率因数等数据查询；</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电力数据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提供监测点日电流、电压、有功功率、无功功率、功率因数曲线分析功能，并以不同的颜色标示各费率时段；</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提供监测点日电力极大值及其发生时刻、极小值及其发生时刻、越限时间等分析功能。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电力统计数据</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提供按周、月分析监测点每日电流、电压、有功功率、无功功率、功率因数极大值及其发生时刻、极小值及其发生时刻、越限时间信息；</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提供按年分析监测点每月电流、电压、有功功率、无功功率、功率因数极大值及其发生时刻、极小值及其发生时刻、越限时间信息。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电量数据</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提供监测点各费率日电量组成分析；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提供监测点小时电量与负荷曲线对比分析；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提供按周、月分析监测点每日各费率电量组成；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提供按年分析监测点每月各费率电量组成；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提供电量环比数据分析。</w:t>
      </w:r>
    </w:p>
    <w:p>
      <w:pPr>
        <w:pStyle w:val="5"/>
        <w:pageBreakBefore w:val="0"/>
        <w:kinsoku/>
        <w:overflowPunct/>
        <w:topLinePunct w:val="0"/>
        <w:bidi w:val="0"/>
        <w:spacing w:line="360" w:lineRule="auto"/>
        <w:ind w:left="864" w:leftChars="0" w:hanging="864" w:firstLineChars="0"/>
        <w:rPr>
          <w:rFonts w:hint="eastAsia"/>
        </w:rPr>
      </w:pPr>
      <w:r>
        <w:rPr>
          <w:rFonts w:hint="eastAsia"/>
        </w:rPr>
        <w:t>用电特性分析</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 xml:space="preserve">最大需量分析 </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提供任意日时间段最大需量数据；</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提供平均负荷、最大负荷、最大需量、最小负荷、容量曲线；</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提供最大需量和最大负荷发生时间对比分析。</w:t>
      </w:r>
    </w:p>
    <w:p>
      <w:pPr>
        <w:pageBreakBefore w:val="0"/>
        <w:kinsoku/>
        <w:overflowPunct/>
        <w:topLinePunct w:val="0"/>
        <w:bidi w:val="0"/>
        <w:spacing w:line="360" w:lineRule="auto"/>
        <w:jc w:val="center"/>
        <w:rPr>
          <w:rFonts w:asciiTheme="minorEastAsia" w:hAnsiTheme="minorEastAsia" w:eastAsiaTheme="minorEastAsia" w:cstheme="minorEastAsia"/>
          <w:sz w:val="24"/>
        </w:rPr>
      </w:pPr>
      <w:r>
        <w:rPr>
          <w:rFonts w:asciiTheme="minorEastAsia" w:hAnsiTheme="minorEastAsia" w:eastAsiaTheme="minorEastAsia" w:cstheme="minorEastAsia"/>
          <w:sz w:val="24"/>
        </w:rPr>
        <w:drawing>
          <wp:inline distT="0" distB="0" distL="0" distR="0">
            <wp:extent cx="5346065" cy="1522730"/>
            <wp:effectExtent l="0" t="0" r="698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46065" cy="152273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图3</w:t>
      </w:r>
      <w:r>
        <w:rPr>
          <w:rFonts w:hint="eastAsia"/>
        </w:rPr>
        <w:t>-</w:t>
      </w:r>
      <w:r>
        <w:t xml:space="preserve">7  </w:t>
      </w:r>
      <w:r>
        <w:rPr>
          <w:rFonts w:hint="eastAsia"/>
        </w:rPr>
        <w:t>最大需亮曲线图</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负荷分析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任意三日的负荷曲线对比分析；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提供对监测点任意三日的负荷极大值及发生时间、极小值及发生时间、平均值、越限累计时间的对比分析；</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提供对监测点任意三日不同费率电量的对比分析。</w:t>
      </w:r>
    </w:p>
    <w:p>
      <w:pPr>
        <w:pageBreakBefore w:val="0"/>
        <w:kinsoku/>
        <w:overflowPunct/>
        <w:topLinePunct w:val="0"/>
        <w:bidi w:val="0"/>
        <w:spacing w:line="360" w:lineRule="auto"/>
        <w:jc w:val="center"/>
      </w:pPr>
      <w:r>
        <w:drawing>
          <wp:inline distT="0" distB="0" distL="0" distR="0">
            <wp:extent cx="5334000" cy="2057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334000" cy="2057400"/>
                    </a:xfrm>
                    <a:prstGeom prst="rect">
                      <a:avLst/>
                    </a:prstGeom>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rPr>
          <w:rFonts w:hint="eastAsia"/>
        </w:rPr>
        <w:t>图3-</w:t>
      </w:r>
      <w:r>
        <w:t xml:space="preserve">8  </w:t>
      </w:r>
      <w:r>
        <w:rPr>
          <w:rFonts w:hint="eastAsia"/>
        </w:rPr>
        <w:t>负荷曲线对比图</w:t>
      </w:r>
    </w:p>
    <w:p>
      <w:pPr>
        <w:pStyle w:val="5"/>
        <w:pageBreakBefore w:val="0"/>
        <w:kinsoku/>
        <w:overflowPunct/>
        <w:topLinePunct w:val="0"/>
        <w:bidi w:val="0"/>
        <w:spacing w:line="360" w:lineRule="auto"/>
        <w:ind w:left="864" w:leftChars="0" w:hanging="864" w:firstLineChars="0"/>
        <w:rPr>
          <w:rFonts w:hint="eastAsia"/>
        </w:rPr>
      </w:pPr>
      <w:r>
        <w:rPr>
          <w:rFonts w:hint="eastAsia"/>
        </w:rPr>
        <w:t>用能成本分析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考虑电力峰谷等因素的用电成本分析。通过模拟企业采用不同的生产调度方式，在总能耗不变的情况下，计算出不同的用电成本，从而优化出用电成本最小的生产调度方式。</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销售电价输入</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销售电价作为电费的计算依据，用户将电力公司公布的电价输入到相应的表格之中。</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电费成本分析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当用户采取了诸如：“削峰填谷”、降低需量、增大功率因数等措施后可以有效地节省电费。“错峰电费计算”的功能就是根据用户提供的信息，准确地算出可以节省多少电费。 </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43" w:name="_Toc11998"/>
      <w:bookmarkStart w:id="144" w:name="_Toc2142"/>
      <w:bookmarkStart w:id="145" w:name="_Toc32398"/>
      <w:r>
        <w:rPr>
          <w:rFonts w:hint="eastAsia"/>
          <w:lang w:val="en-US" w:eastAsia="zh-CN"/>
        </w:rPr>
        <w:t>企业智慧能源综合服务APP</w:t>
      </w:r>
      <w:bookmarkEnd w:id="143"/>
      <w:bookmarkEnd w:id="144"/>
      <w:bookmarkEnd w:id="145"/>
    </w:p>
    <w:p>
      <w:pPr>
        <w:pStyle w:val="5"/>
        <w:pageBreakBefore w:val="0"/>
        <w:kinsoku/>
        <w:overflowPunct/>
        <w:topLinePunct w:val="0"/>
        <w:bidi w:val="0"/>
        <w:spacing w:line="360" w:lineRule="auto"/>
        <w:ind w:left="864" w:leftChars="0" w:hanging="864" w:firstLineChars="0"/>
        <w:rPr>
          <w:rFonts w:hint="eastAsia"/>
        </w:rPr>
      </w:pPr>
      <w:r>
        <w:rPr>
          <w:rFonts w:hint="eastAsia"/>
        </w:rPr>
        <w:t xml:space="preserve"> 交互设计原则</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（1）易读性原则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人在感知文字信息的时候往往受惯性思维或以往经验所约束，会很自然的遵循一些潜规则去感知信息。从视觉感知心理学角度来讲，规则的、层次分明的信息最易于为人的大脑所识别从而极快的进入大脑进行分析处理；而凌乱的、不规则的信息，人的心理有拒绝的情绪，大脑的感知系统需要消耗很大能量进行处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信息传达的易读性可以通过信息分类、信息块状化、信息主次化、信息秩序化等方式进行完善。</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信息分类：大脑感知信息的时候，大脑处理系统通常需要对信息进行分类加工。特别是当屏幕上的信息量很多的时候，分类的信息让用户更容易地感知、发现和解释/理解信息。</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信息组合呈块状：信息经过分类之后，同类的信息作为一个单元组，并且呈块状的出现在界面，块状的目的是使信息单元之间的区别明显拉开，使读者更易感知单个信息，并且整体不会感觉太繁杂。</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主次明显：界面中信息会非常多，将信息安排的条理清晰、主次明显，将会减少用户完成任务的时间，对于一些关键的信息，或者完成某种任务的重要操作，要置于用户最易看到或最易操作位置，一些无关紧要的信息用户可以忽略过去，从而减少用户的脑力消耗。</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信息秩序习惯：信息组的秩序安排应遵循常用的形式、习惯、风俗。比如文本按照左对齐（或右对齐，部分从右至左阅读习惯的人群）就比居中对齐符合阅读习惯。</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（2）层次扁平化原则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息的组织往往有计算机逻辑型、物理秩序型，系统开发过程中往往会根据某种逻辑物理关系去组织信息，但这种信息的组织方式不符合用户的便捷操作，比如C的操作是属于B，B又属于A，如按照正常逻辑的做法是设置A为入口，由A再找到B入口，然后由B看到C的操作菜单。用户在访问这种多层次的用户界面系统时，都会出现问题，因为他们不熟悉系统的逻辑、前后等关系，会被这种错综复杂的包含关系迷惑，同时，多余的步骤增加了任务完成的时间和工作量，增加用户认知的负担，导致用户有挫折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ascii="宋体" w:hAnsi="宋体"/>
          <w:sz w:val="24"/>
        </w:rPr>
      </w:pPr>
      <w:r>
        <w:rPr>
          <w:rFonts w:hint="eastAsia" w:asciiTheme="minorEastAsia" w:hAnsiTheme="minorEastAsia" w:eastAsiaTheme="minorEastAsia" w:cstheme="minorEastAsia"/>
          <w:sz w:val="24"/>
          <w:szCs w:val="24"/>
          <w:lang w:val="en-US" w:eastAsia="zh-CN"/>
        </w:rPr>
        <w:t>友好的做法，应该将这些计算机逻辑、物理秩序隐藏起来，将这些信息关系扁平化，让用户直达操作，而不需要绕圈子。即把A、B隐藏起来，把C的操作直接显示出来。</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（3）近距离原则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相近的信息之间的关系会比距离远的更紧密，用户搜索相关联的信息或操作是从近及远，即所谓的就近原则。如果某个事件操作的执行按钮随便放在一个距离远的不相关的区域，用户会无所适从。</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在组织信息时，必须把相关的信息扎堆，组成信息组。同时，应该遵循一定的顺序，比如从上到下，从左到右的操作顺序。近距离原则其实就是把有关联的信息按照用户的操作习惯组织成信息组。</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（4）可见性原理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完成任务所需的所有选项和材料都对用户可见，不要让额外或冗余的信息干扰用户。</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见性原理是指用户界面应当根据用户所要做的事情，让所需的所有东西可见和可及。其目标就是在“所见即所得”（WYSIWYG）的基础上，进一步实现“所见即所需”（WYSIWYN）。所见即所需型界面让且仅让那些完成任务所必需的东西为用户所见。</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方面，设计目标是让所有需要和相关的选项可见和明确。另一方面，一个好的设计不应让用户陷于过多的选择当中，不应让用户被不必要的信息所迷惑。理论基础：人的识别能力要强于记忆能力。用户在工作中不应该有过多的依赖于短期记忆的中间输入。</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（5）反馈原理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通过使用用户熟悉、清晰、简洁和无歧义的语言，让用户时刻了解系统对用户操作的反应和解释，了解与用户有关且被他们所关心的系统状态变化、出错、异常等所有情况。</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好的用户界面应当像一个健谈的人，时刻告诉用户系统内部正在发生什么事情。</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个可用的系统要告诉用户许多事情。不过反馈原理不应该成为设立过多信息框的借口。这条原理的目标是找到简洁自然的交流方式。好的反馈信息并不一定要用文字。指挥车流的交通警察并不需要举起一块告示牌来告诉人们交通指令。出错和异常情况的反馈信息，应该简洁，采用用户的语言，并且容易为用户所理解。它最好开始就能让用户马上知道问题在哪里，接下来有针对性地解释问题是什么，并且建议解决问题的方法或操作步骤。</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（6）宽容性原理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保持灵活和宽容，通过提供撤销和重做功能来减少用户出错和不当操作所带来的开销，同时通过允许各种不同的输入形式和顺序以及通过合理的解释用户的所有合理操作来尽可能防止出错。减少出错是比提供好的出错信息更好的办法。高可用性的系统帮助用户少犯错误。宽容原理中包含了若干种减少用户出错的策略。在遇到未曾预料的输入或操作时，软件至少不应有什么愚蠢之举。数据合法性检查似乎是一种不错的方法，但是也要注意检查的时机和后续处理，并防止滥用，影响输入效率。</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（6）重用性原则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于内部和外部的组件和行为加以重用，有目的而不是无目的地维持一致性，从而减少用户重新思考和记忆。令人奇怪的是，被人们广泛推崇的一致性原理在实践中却很少被人们所真正实现。实际上，在复杂的用户界面上实现高度的一致性并非易事。而且，实现高度的一致性经常意味着要牺牲其它重要的设计标准。关键的问题是重用，而不是一致性。重用程度越高，一致性就越好。因为重用可以使界面具有可预测性，减少用户的学习和记忆。不一致的界面不仅会降低软件的可用性，而且会增加程序设计的工作量。</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重用可以是界面的布局重用，概念、操作、动作、隐喻、控件、特效、菜单等的重用。</w:t>
      </w:r>
    </w:p>
    <w:p>
      <w:pPr>
        <w:pageBreakBefore w:val="0"/>
        <w:kinsoku/>
        <w:overflowPunct/>
        <w:topLinePunct w:val="0"/>
        <w:bidi w:val="0"/>
        <w:spacing w:line="360" w:lineRule="auto"/>
        <w:ind w:firstLine="482"/>
        <w:rPr>
          <w:rFonts w:ascii="宋体" w:hAnsi="宋体"/>
          <w:sz w:val="24"/>
        </w:rPr>
      </w:pPr>
      <w:r>
        <w:rPr>
          <w:rFonts w:hint="eastAsia" w:ascii="宋体" w:hAnsi="宋体"/>
          <w:sz w:val="24"/>
        </w:rPr>
        <w:t>（7）保持适当关联的原则</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有的系统中经常设计为用户必须打开很多窗口才能完成一个任务，然而这些窗口中的个体可能没有体现与任务、其他窗口之间的层次关联，因而妨碍了用户观看或恢复到初始视图。解决问题的复杂任务的界面设计中，应该在应用程序与相关界面、界面与界面之间一直可以看到前后关联。</w:t>
      </w:r>
    </w:p>
    <w:p>
      <w:pPr>
        <w:pStyle w:val="5"/>
        <w:pageBreakBefore w:val="0"/>
        <w:kinsoku/>
        <w:overflowPunct/>
        <w:topLinePunct w:val="0"/>
        <w:bidi w:val="0"/>
        <w:spacing w:line="360" w:lineRule="auto"/>
        <w:ind w:left="864" w:leftChars="0" w:hanging="864" w:firstLineChars="0"/>
        <w:rPr>
          <w:rFonts w:hint="eastAsia"/>
        </w:rPr>
      </w:pPr>
      <w:r>
        <w:rPr>
          <w:rFonts w:hint="eastAsia"/>
        </w:rPr>
        <w:t>APP界面设计</w:t>
      </w:r>
    </w:p>
    <w:p>
      <w:pPr>
        <w:pageBreakBefore w:val="0"/>
        <w:kinsoku/>
        <w:overflowPunct/>
        <w:topLinePunct w:val="0"/>
        <w:bidi w:val="0"/>
        <w:spacing w:line="360" w:lineRule="auto"/>
        <w:jc w:val="center"/>
      </w:pPr>
      <w:r>
        <w:drawing>
          <wp:inline distT="0" distB="0" distL="114300" distR="114300">
            <wp:extent cx="2149475" cy="3746500"/>
            <wp:effectExtent l="0" t="0" r="3175" b="6350"/>
            <wp:docPr id="14" name="图片 6" descr="1585203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1585203111(1)"/>
                    <pic:cNvPicPr>
                      <a:picLocks noChangeAspect="1"/>
                    </pic:cNvPicPr>
                  </pic:nvPicPr>
                  <pic:blipFill>
                    <a:blip r:embed="rId23"/>
                    <a:stretch>
                      <a:fillRect/>
                    </a:stretch>
                  </pic:blipFill>
                  <pic:spPr>
                    <a:xfrm>
                      <a:off x="0" y="0"/>
                      <a:ext cx="2149475" cy="3746500"/>
                    </a:xfrm>
                    <a:prstGeom prst="rect">
                      <a:avLst/>
                    </a:prstGeom>
                    <a:noFill/>
                    <a:ln>
                      <a:noFill/>
                    </a:ln>
                  </pic:spPr>
                </pic:pic>
              </a:graphicData>
            </a:graphic>
          </wp:inline>
        </w:drawing>
      </w:r>
      <w:r>
        <w:t xml:space="preserve">   </w:t>
      </w:r>
      <w:r>
        <w:drawing>
          <wp:inline distT="0" distB="0" distL="114300" distR="114300">
            <wp:extent cx="2113915" cy="3746500"/>
            <wp:effectExtent l="0" t="0" r="635" b="6350"/>
            <wp:docPr id="18" name="图片 7" descr="158520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585203169(1)"/>
                    <pic:cNvPicPr>
                      <a:picLocks noChangeAspect="1"/>
                    </pic:cNvPicPr>
                  </pic:nvPicPr>
                  <pic:blipFill>
                    <a:blip r:embed="rId24"/>
                    <a:stretch>
                      <a:fillRect/>
                    </a:stretch>
                  </pic:blipFill>
                  <pic:spPr>
                    <a:xfrm>
                      <a:off x="0" y="0"/>
                      <a:ext cx="2113915" cy="374650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hint="default" w:eastAsia="黑体" w:asciiTheme="minorEastAsia" w:hAnsiTheme="minorEastAsia" w:cstheme="minorEastAsia"/>
          <w:sz w:val="24"/>
          <w:lang w:val="en-US" w:eastAsia="zh-CN"/>
        </w:rPr>
      </w:pPr>
      <w:r>
        <w:t>图3</w:t>
      </w:r>
      <w:r>
        <w:rPr>
          <w:rFonts w:hint="eastAsia"/>
        </w:rPr>
        <w:t>-</w:t>
      </w:r>
      <w:r>
        <w:t xml:space="preserve">9  </w:t>
      </w:r>
      <w:r>
        <w:rPr>
          <w:rFonts w:hint="eastAsia"/>
        </w:rPr>
        <w:t>APP界面</w:t>
      </w:r>
      <w:r>
        <w:rPr>
          <w:rFonts w:hint="eastAsia"/>
          <w:lang w:val="en-US" w:eastAsia="zh-CN"/>
        </w:rPr>
        <w:t>(效果图)</w:t>
      </w:r>
    </w:p>
    <w:p>
      <w:pPr>
        <w:pStyle w:val="5"/>
        <w:pageBreakBefore w:val="0"/>
        <w:kinsoku/>
        <w:overflowPunct/>
        <w:topLinePunct w:val="0"/>
        <w:bidi w:val="0"/>
        <w:spacing w:line="360" w:lineRule="auto"/>
        <w:ind w:left="864" w:leftChars="0" w:hanging="864" w:firstLineChars="0"/>
        <w:rPr>
          <w:rFonts w:hint="eastAsia"/>
        </w:rPr>
      </w:pPr>
      <w:r>
        <w:rPr>
          <w:rFonts w:hint="eastAsia"/>
        </w:rPr>
        <w:t>APP主要功能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用户注册</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管理员，普通用户注册和运维人员注册，并提供用户信息，微网信息页面显示和查询。普通用户注册需要根据身份输入：企业名、昵称、密码、授权信息和身份类型信息等，在通过审核后，即可使用app进行企业能源的查询和监控操作。</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智慧能源综合服务平台面向交易中心、产能企业、售能企业、用能企业4类用户，针对不同用户的差异化需求提供综合能源服务。</w:t>
      </w:r>
    </w:p>
    <w:p>
      <w:pPr>
        <w:pStyle w:val="7"/>
        <w:pageBreakBefore w:val="0"/>
        <w:kinsoku/>
        <w:overflowPunct/>
        <w:topLinePunct w:val="0"/>
        <w:bidi w:val="0"/>
        <w:spacing w:line="360" w:lineRule="auto"/>
        <w:rPr>
          <w:b w:val="0"/>
          <w:bCs w:val="0"/>
        </w:rPr>
      </w:pPr>
      <w:r>
        <w:rPr>
          <w:rFonts w:hint="eastAsia"/>
          <w:b w:val="0"/>
          <w:bCs w:val="0"/>
        </w:rPr>
        <w:t>交易中心</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构建智慧能源综合服务平台，为交易中心提供有效的能源监管手段，构建以电为中心的智慧应用能源生态圈。支持区域能源分析，掌控能源消费动态；提供能源结构优化，增加清洁能源配给；挖掘节能减排空间，推动绿色循环发展；优化高耗能企业消费配比，加快能源消费结构升级。</w:t>
      </w:r>
    </w:p>
    <w:p>
      <w:pPr>
        <w:pStyle w:val="7"/>
        <w:pageBreakBefore w:val="0"/>
        <w:kinsoku/>
        <w:overflowPunct/>
        <w:topLinePunct w:val="0"/>
        <w:bidi w:val="0"/>
        <w:spacing w:line="360" w:lineRule="auto"/>
        <w:rPr>
          <w:b w:val="0"/>
          <w:bCs w:val="0"/>
        </w:rPr>
      </w:pPr>
      <w:r>
        <w:rPr>
          <w:rFonts w:hint="eastAsia"/>
          <w:b w:val="0"/>
          <w:bCs w:val="0"/>
        </w:rPr>
        <w:t>用能企业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面向企业、公共服务机构等用能企业，提供专业的能源管家服务、精准的能耗诊断分析、前期资源规划配置等一站式综合能源服务，提高能源利用效率，降低用能成本，提升能源服务体验，为用能企业提供高质量、多元化智慧能源综合服务。</w:t>
      </w:r>
    </w:p>
    <w:p>
      <w:pPr>
        <w:pStyle w:val="7"/>
        <w:pageBreakBefore w:val="0"/>
        <w:kinsoku/>
        <w:overflowPunct/>
        <w:topLinePunct w:val="0"/>
        <w:bidi w:val="0"/>
        <w:spacing w:line="360" w:lineRule="auto"/>
        <w:rPr>
          <w:b w:val="0"/>
          <w:bCs w:val="0"/>
        </w:rPr>
      </w:pPr>
      <w:r>
        <w:rPr>
          <w:rFonts w:hint="eastAsia"/>
          <w:b w:val="0"/>
          <w:bCs w:val="0"/>
        </w:rPr>
        <w:t>售能企业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平台具备能源监控、分析、管理、交易、运营等功能，通过监测能源运行状态，实现全景动态展现；通过能源综合调度，实现多能互补；通过构建客户画像，提供差异化服务策略；通过能源消费结算，满足多类型能源消费需求，为能源生产、传输、销售等能源运营商提供运营平台与数据支撑。</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产能企业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在技术层面，平台具备广泛的开放性，提供标准的数据接口和协议及应用级的二次开发工具，为产能企业提供企业级发展平台，通过产品精准推送、客户需求发布、产品质量评价等方式，构建企业联盟。</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实时监控</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通过平台在需求侧开展电能</w:t>
      </w:r>
      <w:bookmarkStart w:id="198" w:name="_GoBack"/>
      <w:bookmarkEnd w:id="198"/>
      <w:r>
        <w:rPr>
          <w:rFonts w:hint="eastAsia" w:asciiTheme="minorEastAsia" w:hAnsiTheme="minorEastAsia" w:eastAsiaTheme="minorEastAsia" w:cstheme="minorEastAsia"/>
          <w:sz w:val="24"/>
          <w:szCs w:val="24"/>
          <w:lang w:val="en-US" w:eastAsia="zh-CN"/>
        </w:rPr>
        <w:t>质量监测，通过对能源数据的监测、采集和处理，并生成各种电能及电能质量报表、分析曲线、图形等，便于电能质量分析、研究和预警。</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微电网内光伏发电系统，风力发电系统，储能系统等组成部分的信息显示并提供历史记录查询，包括功率、电压、电流和气象站等信息。实时监测需量情况，支持预先设置需量上限，当超过上限时系统进行报警，帮助企业有效管理需量，为需量申报业务提供数据支撑。</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asciiTheme="minorEastAsia" w:hAnsiTheme="minorEastAsia" w:eastAsiaTheme="minorEastAsia" w:cstheme="minorEastAsia"/>
          <w:sz w:val="24"/>
        </w:rPr>
        <w:t>数</w:t>
      </w:r>
      <w:r>
        <w:rPr>
          <w:rFonts w:hint="eastAsia" w:asciiTheme="minorEastAsia" w:hAnsiTheme="minorEastAsia" w:eastAsiaTheme="minorEastAsia" w:cstheme="minorEastAsia"/>
          <w:sz w:val="24"/>
          <w:szCs w:val="24"/>
          <w:lang w:val="en-US" w:eastAsia="zh-CN"/>
        </w:rPr>
        <w:t>据分析基于平台获取的海量能源数据资产，利用大数据和人工智能技术，结合专家团队，提供专业化、可视化、智能化的能源分析报告，开展区域能源智能分析、企业能源智能分析、综合能耗能效分析、异常用能智能分析，为政府未来能源布局、产业规划等重大决策提供支撑，帮助用户节约用能成本、提高能源利用效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平台对用户的用电、用水、用气等能源数据开展实时监测，利用大数据分析技术，开展区域能耗分析，对区域总体能耗、各行业能耗、各类型用户能耗、企业能耗开展监测分析、对比，及时帮助政府掌握区域能源供需动态，支撑政府部门开展区域节能降耗、优化能源结构等监管工作;帮助企业了解自身用能特点，提高用能效率。</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提供电力数据分析，预测信息，实时数据和历史记录显示，包括光伏发电预测，风力发电预测，负荷预测，故障预测，历史发电信息记录，告警信息等（电力分析，发电预测，故障诊断，统计报表）。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提供日、月、年用电曲线图，查看用电增长趋势；提供日月年负荷曲线图，查看电路负荷状态；支持对包括三相不平衡、谐波畸变率在内的电能质量数据的分析，找到改进空间，为后期提升电能质量做数据支撑。</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提供交易结果分类统计，按交易类型、企业类型等对交易结果进行统计。交易类型有集中竞价、挂牌交易、双边协商、现货交易等等。可以按年月日等对交易结果统计。从交易结果中分析交易特性。</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告警查询</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告警查询主要是对企业内部发生的各种故障信息进行查询，通过统计数据了解经常出现故障的地方是否由于线路安排或者其他问题找出故障频出。不同权限的用户可以根据自己的需求进行故障分类查询。</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推送信息</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推送信息功能主要是将一体化装置监测到故障后，一路上报至服务器，服务器将信息分布推送到pc端和手机端，以便用户在远程即可了解故障信息，安排相关人员及时处理故障，避免损失。推送信息可以将交易结算报表推送至用户，让用户及时结清费用或与交易方联系排除结算异常信息。在运维或者接收到相关维护信息时，通过现场排除故障情况，通过平台可以将处理结果上传，在线反馈故障排除情况。</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不同平台交互服务</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系统存在一体化装置、传感器、服务器、pc端、手机端等各种不同平台，在各个平台中产生的数据是不一致的，在手机端需要与pc端和服务器进行数据交互，以达到在线实时处理业务或处理故障等，系统后台在用户进行各种修改操作时，会提供数据给企业智慧能源系统软件采集分析显示接口，接口接收到数据后会验证数据来源，然后将数据存储到对应的存储介质中。</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账号管理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账号管理功能主要是对系统使用者的账号进行维护管理工作，用户可以维护自己的账号，可以通过在线申诉、电联管理员等途径，提供身份证明文件后找回丢失或被锁的账号。</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对个人信息的维护，根据权限管理其他企业账号信息，提供账号信息的新增、修改、删除和审核功能。</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数据管理功能主要涉及到调控中心、营销部、发展部、运检部、运监中心等多个业务部门的多项数据整合和统计查询，并且解决海量历史/准实时数据存储与访问的问题。</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提供数据的查询、新增和修改服务。数据包括合同模板数据、交易方式和品种数据、故障数据等。</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业务管理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业务管理主要是对能源交易方面进行管理，能源交易是在一定的门槛准入条件和辅助服务机制下，为区域内分布式能源(储能)和能源用户在统一平台上提供冷、热、电等多种能源的一站式交易服务，支持基于区块链技术的交易模式，体现能源交易公正透明、有序协同的特征。在app中可以实时跟踪交易进展，查看交易结果。</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运维管理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运维管理分别显示各企业关键设备的用电情况、一体化装置情况，能在线调整阈值参数。支持显示指定企业包括容量、变压器、监测点位等在内的基本信息；支持包括负荷、电量、变压器负载率、功率因数、环境温湿度、峰谷用电、重点负荷排名在内的重点用电信息的展示；支持配电房视频监控，将告警与监控进行联动，多维定位故障点，避免误报；支持安排运维人员到现场进行维护、抢修等操作。</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用能总览</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显示用户所接入设备总用能情况、用能趋势分析、设备用能排名分析。</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实时监控</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提供设备的功率、电压、电流和负荷等实时数据查询。</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数据分析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用能趋势分析：选择不同设备，显示该设备最近30天用能趋势。</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设备负荷分析：选择不同设备和分析时间段，显示该设备在分析时间段内负荷曲线，并定位负荷极大值及发生时间、极小值及发生时间，同时与负荷平均值曲线进行对比分析。</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最大需量分析：提供分析时间段最大需量数据，提供最大需量和最大负荷发生时间对比分析。</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告警查询</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异常用能告警：根据预警类型参数定义，查询异常用能情况并进行告警提示。</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设备故障告警：接收并实时显示设备故障告警信息。</w:t>
      </w:r>
    </w:p>
    <w:p>
      <w:pPr>
        <w:pStyle w:val="6"/>
        <w:pageBreakBefore w:val="0"/>
        <w:kinsoku/>
        <w:overflowPunct/>
        <w:topLinePunct w:val="0"/>
        <w:bidi w:val="0"/>
        <w:spacing w:line="360" w:lineRule="auto"/>
        <w:rPr>
          <w:rFonts w:ascii="黑体" w:hAnsi="黑体" w:eastAsia="黑体"/>
          <w:b w:val="0"/>
          <w:bCs w:val="0"/>
          <w:sz w:val="24"/>
          <w:szCs w:val="24"/>
        </w:rPr>
      </w:pPr>
      <w:r>
        <w:rPr>
          <w:rFonts w:hint="eastAsia" w:ascii="黑体" w:hAnsi="黑体" w:eastAsia="黑体"/>
          <w:b w:val="0"/>
          <w:bCs w:val="0"/>
          <w:sz w:val="24"/>
          <w:szCs w:val="24"/>
        </w:rPr>
        <w:t>用能报表</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可根据时间段查询设备用能报表数据。</w:t>
      </w:r>
    </w:p>
    <w:p>
      <w:pPr>
        <w:pStyle w:val="3"/>
        <w:pageBreakBefore w:val="0"/>
        <w:kinsoku/>
        <w:overflowPunct/>
        <w:topLinePunct w:val="0"/>
        <w:bidi w:val="0"/>
        <w:spacing w:line="360" w:lineRule="auto"/>
        <w:ind w:left="575" w:leftChars="0" w:hanging="575" w:firstLineChars="0"/>
        <w:rPr>
          <w:rFonts w:hint="eastAsia"/>
          <w:b/>
          <w:bCs w:val="0"/>
        </w:rPr>
      </w:pPr>
      <w:bookmarkStart w:id="146" w:name="_Toc36562869"/>
      <w:bookmarkStart w:id="147" w:name="_Toc4970"/>
      <w:bookmarkStart w:id="148" w:name="_Toc19148"/>
      <w:bookmarkStart w:id="149" w:name="_Toc12078"/>
      <w:r>
        <w:rPr>
          <w:rFonts w:hint="eastAsia"/>
          <w:b/>
          <w:bCs w:val="0"/>
        </w:rPr>
        <w:t>一体化装置</w:t>
      </w:r>
      <w:bookmarkEnd w:id="146"/>
      <w:r>
        <w:rPr>
          <w:rFonts w:hint="eastAsia"/>
          <w:b/>
          <w:bCs w:val="0"/>
        </w:rPr>
        <w:t>硬件</w:t>
      </w:r>
      <w:bookmarkEnd w:id="147"/>
      <w:bookmarkEnd w:id="148"/>
      <w:bookmarkEnd w:id="149"/>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源使用效率的提升首先取决于能源使用状况的掌握程度，只有先发现问题，才能去解决问题，所以说能源计量工作是用能单位实现科学管理的一项重要技术基础。有了完善准确的计量器具，才能为生产和生活的各个环节提供可靠的数据。有了先进的能源计量数据采集手段，自动、及时、准确的采集计量器具的数据，才能最大化的发挥计量数据的作用。否则，各项统计分析就无法进行或失去意义。</w:t>
      </w:r>
    </w:p>
    <w:p>
      <w:pPr>
        <w:pageBreakBefore w:val="0"/>
        <w:kinsoku/>
        <w:overflowPunct/>
        <w:topLinePunct w:val="0"/>
        <w:bidi w:val="0"/>
        <w:spacing w:line="360" w:lineRule="auto"/>
        <w:jc w:val="center"/>
      </w:pPr>
      <w:r>
        <w:drawing>
          <wp:inline distT="0" distB="0" distL="114300" distR="114300">
            <wp:extent cx="5273040" cy="24384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5"/>
                    <a:stretch>
                      <a:fillRect/>
                    </a:stretch>
                  </pic:blipFill>
                  <pic:spPr>
                    <a:xfrm>
                      <a:off x="0" y="0"/>
                      <a:ext cx="5273040" cy="243840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ascii="黑体" w:hAnsi="黑体" w:eastAsia="宋体"/>
        </w:rPr>
      </w:pPr>
      <w:r>
        <w:t>图3</w:t>
      </w:r>
      <w:r>
        <w:rPr>
          <w:rFonts w:hint="eastAsia"/>
        </w:rPr>
        <w:t>-</w:t>
      </w:r>
      <w:r>
        <w:t xml:space="preserve">10  </w:t>
      </w:r>
      <w:r>
        <w:rPr>
          <w:rFonts w:hint="eastAsia"/>
        </w:rPr>
        <w:t>整机硬件框图</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50" w:name="_Toc20791"/>
      <w:bookmarkStart w:id="151" w:name="_Toc4556"/>
      <w:bookmarkStart w:id="152" w:name="_Toc6223"/>
      <w:bookmarkStart w:id="153" w:name="_Toc36562870"/>
      <w:r>
        <w:rPr>
          <w:rFonts w:hint="eastAsia"/>
          <w:lang w:val="en-US" w:eastAsia="zh-CN"/>
        </w:rPr>
        <w:t>企业用能数据采集方案</w:t>
      </w:r>
      <w:bookmarkEnd w:id="150"/>
      <w:bookmarkEnd w:id="151"/>
      <w:bookmarkEnd w:id="152"/>
    </w:p>
    <w:p>
      <w:pPr>
        <w:pStyle w:val="5"/>
        <w:pageBreakBefore w:val="0"/>
        <w:kinsoku/>
        <w:overflowPunct/>
        <w:topLinePunct w:val="0"/>
        <w:bidi w:val="0"/>
        <w:spacing w:line="360" w:lineRule="auto"/>
        <w:ind w:left="864" w:leftChars="0" w:hanging="864" w:firstLineChars="0"/>
        <w:rPr>
          <w:rFonts w:hint="eastAsia"/>
        </w:rPr>
      </w:pPr>
      <w:bookmarkStart w:id="154" w:name="_Toc36562867"/>
      <w:bookmarkStart w:id="155" w:name="_Toc20388"/>
      <w:r>
        <w:rPr>
          <w:rFonts w:hint="eastAsia"/>
        </w:rPr>
        <w:t>采集系统功能</w:t>
      </w:r>
      <w:bookmarkEnd w:id="154"/>
      <w:bookmarkEnd w:id="155"/>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软件具有良好的通信接口扩展功能，支持国内外标准通信协议设备的接入，实现与第三方系统的数据交互。其它厂家的第三方设备，如直流屏、其他厂家保护装置等，符合标准规约或提供通信规约，可接入本系统。具有扩展及与其他计算机网络的通讯功能。</w:t>
      </w:r>
    </w:p>
    <w:p>
      <w:pPr>
        <w:pStyle w:val="25"/>
        <w:pageBreakBefore w:val="0"/>
        <w:kinsoku/>
        <w:overflowPunct/>
        <w:topLinePunct w:val="0"/>
        <w:bidi w:val="0"/>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通信采集：</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支持标准规约设备接入，如：Modbus、IEC 60870-5、IEC 61850、IEC 61970、DNP3.0、CDT、DL/T 645、DL/T 860、M-Bus、OPC DA等。</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支持非标准规约设备接入，如：ION、SEL LMD、SIEMENS、ABB、南瑞等。</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支持按照标准远传规约传输数据，如：Modbus Slave、IEC 61850 Server、OPC Server、IEC 61070-5等。</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数据采集软件支持常用工业通讯协议、控制器、工业网关，如Modbus、CDT等协议，并支持控制器、工业协议的扩展。支持市场主流PLC设备的接入，如西门子、AB、欧姆龙、三菱等。</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支持4G、GPRS通信模式。</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支持电力调度系统无缝接入，实时上传重要遥测、遥信、保护信息给调度系统，并能接受调度发送的调度命令。</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支持分钟级数据采集能力，设备间通讯数据采集网络延迟不超过5分钟；</w:t>
      </w:r>
    </w:p>
    <w:p>
      <w:pPr>
        <w:pageBreakBefore w:val="0"/>
        <w:kinsoku/>
        <w:overflowPunct/>
        <w:topLinePunct w:val="0"/>
        <w:bidi w:val="0"/>
        <w:spacing w:line="360" w:lineRule="auto"/>
        <w:ind w:left="71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系统接口：</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数据采集软件支持OPC，WebService，或其他双方协商的接口方式，开放地址表。</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支持冗余数据存储功能，提高数据采集存储的高可靠性；</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支持与DCS系统进行数据的交互，上送重要的生产数据给DCS系统，并能根据DCS发送的命令执行相关操作。</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软件支持与楼宇智能管理系统进行电力数据的交互。</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与其他厂家综合自动化进行数据的转发和交互，如南瑞、南自、许继、四方等。</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数据采集软件具有对明显异常原始数据过滤功能，如电表异常数据的过滤；</w:t>
      </w:r>
    </w:p>
    <w:p>
      <w:pPr>
        <w:pageBreakBefore w:val="0"/>
        <w:kinsoku/>
        <w:overflowPunct/>
        <w:topLinePunct w:val="0"/>
        <w:bidi w:val="0"/>
        <w:spacing w:line="360" w:lineRule="auto"/>
        <w:ind w:left="71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数据存储：</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数据采集端安装本地实时ORACLE数据库，实现本地原始数据的存储，为以后工厂侧细化的能源管理要求预留数据接口，并支持与总部实时数据库的数据转发功能；</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数据库支持灵活的数据备份及恢复功能。</w:t>
      </w:r>
    </w:p>
    <w:p>
      <w:pPr>
        <w:pStyle w:val="5"/>
        <w:pageBreakBefore w:val="0"/>
        <w:kinsoku/>
        <w:overflowPunct/>
        <w:topLinePunct w:val="0"/>
        <w:bidi w:val="0"/>
        <w:spacing w:line="360" w:lineRule="auto"/>
        <w:ind w:left="864" w:leftChars="0" w:hanging="864" w:firstLineChars="0"/>
        <w:rPr>
          <w:rFonts w:hint="eastAsia"/>
        </w:rPr>
      </w:pPr>
      <w:bookmarkStart w:id="156" w:name="_Toc7166"/>
      <w:bookmarkStart w:id="157" w:name="_Toc36562868"/>
      <w:r>
        <w:rPr>
          <w:rFonts w:hint="eastAsia"/>
        </w:rPr>
        <w:t>采集方式</w:t>
      </w:r>
      <w:bookmarkEnd w:id="156"/>
      <w:bookmarkEnd w:id="157"/>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系统支持定时和随时抄录远方数据，支持自动补抄和手工补抄，保证数据的完整性。对采集任务进行统一调度管理和优先级控制。可按定制的计量点类型、采集项目、采集周期进行数据采集、并可定制存储方式。</w:t>
      </w:r>
    </w:p>
    <w:p>
      <w:pPr>
        <w:pageBreakBefore w:val="0"/>
        <w:numPr>
          <w:ilvl w:val="0"/>
          <w:numId w:val="22"/>
        </w:numPr>
        <w:kinsoku/>
        <w:overflowPunct/>
        <w:topLinePunct w:val="0"/>
        <w:bidi w:val="0"/>
        <w:spacing w:line="360" w:lineRule="auto"/>
        <w:ind w:left="113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定</w:t>
      </w:r>
      <w:r>
        <w:rPr>
          <w:rFonts w:hint="eastAsia" w:asciiTheme="minorEastAsia" w:hAnsiTheme="minorEastAsia" w:eastAsiaTheme="minorEastAsia" w:cstheme="minorEastAsia"/>
          <w:sz w:val="24"/>
          <w:szCs w:val="24"/>
          <w:lang w:val="en-US" w:eastAsia="zh-CN"/>
        </w:rPr>
        <w:t>时自动采集：按设定时间间隔自动采集终端数据，自动采集方案的采集时间、采集项目及采集周期可设置，最小采集间隔为5分钟。当定时自动数据采集失败时，主站有自动及人工补抄功能，保证数据的完整性。</w:t>
      </w:r>
    </w:p>
    <w:p>
      <w:pPr>
        <w:pageBreakBefore w:val="0"/>
        <w:numPr>
          <w:ilvl w:val="0"/>
          <w:numId w:val="22"/>
        </w:numPr>
        <w:kinsoku/>
        <w:overflowPunct/>
        <w:topLinePunct w:val="0"/>
        <w:bidi w:val="0"/>
        <w:spacing w:line="360" w:lineRule="auto"/>
        <w:ind w:left="113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随</w:t>
      </w:r>
      <w:r>
        <w:rPr>
          <w:rFonts w:hint="eastAsia" w:asciiTheme="minorEastAsia" w:hAnsiTheme="minorEastAsia" w:eastAsiaTheme="minorEastAsia" w:cstheme="minorEastAsia"/>
          <w:sz w:val="24"/>
          <w:szCs w:val="24"/>
          <w:lang w:val="en-US" w:eastAsia="zh-CN"/>
        </w:rPr>
        <w:t>机召测数据：能人工随机召测企业终端数据，如出现事件告警时，随机召测与事件相关的重要数据，供事件分析用。</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可进</w:t>
      </w:r>
      <w:r>
        <w:rPr>
          <w:rFonts w:hint="eastAsia" w:asciiTheme="minorEastAsia" w:hAnsiTheme="minorEastAsia" w:eastAsiaTheme="minorEastAsia" w:cstheme="minorEastAsia"/>
          <w:sz w:val="24"/>
          <w:szCs w:val="24"/>
          <w:lang w:val="en-US" w:eastAsia="zh-CN"/>
        </w:rPr>
        <w:t>行批量的随抄，也就是可选择批量用户的电表（当然也可选择一个用户的多块表计）来进行随抄。</w:t>
      </w:r>
    </w:p>
    <w:p>
      <w:pPr>
        <w:pageBreakBefore w:val="0"/>
        <w:numPr>
          <w:ilvl w:val="0"/>
          <w:numId w:val="22"/>
        </w:numPr>
        <w:kinsoku/>
        <w:overflowPunct/>
        <w:topLinePunct w:val="0"/>
        <w:bidi w:val="0"/>
        <w:spacing w:line="360" w:lineRule="auto"/>
        <w:ind w:left="1134"/>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人</w:t>
      </w:r>
      <w:r>
        <w:rPr>
          <w:rFonts w:hint="eastAsia" w:asciiTheme="minorEastAsia" w:hAnsiTheme="minorEastAsia" w:eastAsiaTheme="minorEastAsia" w:cstheme="minorEastAsia"/>
          <w:sz w:val="24"/>
          <w:szCs w:val="24"/>
          <w:lang w:val="en-US" w:eastAsia="zh-CN"/>
        </w:rPr>
        <w:t>工采集：当系统或通信网络出现障碍、表计不能远抄时，可用手持仪人工抄读并录入。</w:t>
      </w:r>
    </w:p>
    <w:p>
      <w:pPr>
        <w:pageBreakBefore w:val="0"/>
        <w:kinsoku/>
        <w:overflowPunct/>
        <w:topLinePunct w:val="0"/>
        <w:bidi w:val="0"/>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一体化装置和主站采集服务器都可对未抄读的表计数据进行24小时补抄，对采集的进度予以记录，可跟据进度直接下发补抄命令进行数据补抄，也可人工修改进度后再下发数据补抄命令，可由操作员自行选择表计以及待补抄的时间段进行数据补抄。</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58" w:name="_Toc14483"/>
      <w:bookmarkStart w:id="159" w:name="_Toc2182"/>
      <w:bookmarkStart w:id="160" w:name="_Toc17934"/>
      <w:r>
        <w:rPr>
          <w:rFonts w:hint="eastAsia"/>
          <w:lang w:val="en-US" w:eastAsia="zh-CN"/>
        </w:rPr>
        <w:t>装置功能架构</w:t>
      </w:r>
      <w:bookmarkEnd w:id="153"/>
      <w:bookmarkEnd w:id="158"/>
      <w:bookmarkEnd w:id="159"/>
      <w:bookmarkEnd w:id="160"/>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现有的用电用能监测主要是依托电力系统中传统用电信息采集终端实现，通过电能数据采集实现用电监测，通过远程控制方式实现用电控制，随着用户侧多类型智慧能源的推广应用，包括分布式能源、储能等能源形态，将改变企业用户对电力消耗单一依赖性，根本上改革能源利用方式，电力公司传统电力营销业务将考虑研发新的一体化装置实现综合能源服务，并建立能效评价体系。以下是系统架构图：</w:t>
      </w:r>
    </w:p>
    <w:p>
      <w:pPr>
        <w:pStyle w:val="11"/>
        <w:pageBreakBefore w:val="0"/>
        <w:kinsoku/>
        <w:overflowPunct/>
        <w:topLinePunct w:val="0"/>
        <w:bidi w:val="0"/>
        <w:spacing w:line="360" w:lineRule="auto"/>
        <w:ind w:firstLine="0" w:firstLineChars="0"/>
        <w:jc w:val="center"/>
        <w:rPr>
          <w:rFonts w:ascii="黑体" w:hAnsi="黑体" w:eastAsia="宋体"/>
        </w:rPr>
      </w:pPr>
      <w:r>
        <w:rPr>
          <w:rFonts w:hint="eastAsia" w:asciiTheme="minorEastAsia" w:hAnsiTheme="minorEastAsia" w:eastAsiaTheme="minorEastAsia" w:cstheme="minorEastAsia"/>
          <w:sz w:val="24"/>
        </w:rPr>
        <w:object>
          <v:shape id="_x0000_i1026" o:spt="75" type="#_x0000_t75" style="height:298.8pt;width:432pt;" o:ole="t" filled="f" o:preferrelative="t" stroked="f" coordsize="21600,21600">
            <v:path/>
            <v:fill on="f" focussize="0,0"/>
            <v:stroke on="f" joinstyle="miter"/>
            <v:imagedata r:id="rId26" o:title=""/>
            <o:lock v:ext="edit" aspectratio="t"/>
            <w10:wrap type="none"/>
            <w10:anchorlock/>
          </v:shape>
          <o:OLEObject Type="Embed" ProgID="Visio.Drawing.11" ShapeID="_x0000_i1026" DrawAspect="Content" ObjectID="_1468075726">
            <o:LockedField>false</o:LockedField>
          </o:OLEObject>
        </w:object>
      </w:r>
      <w:r>
        <w:rPr>
          <w:rFonts w:hint="eastAsia"/>
        </w:rPr>
        <w:t>图3-</w:t>
      </w:r>
      <w:r>
        <w:t xml:space="preserve">11  </w:t>
      </w:r>
      <w:r>
        <w:rPr>
          <w:rFonts w:hint="eastAsia"/>
        </w:rPr>
        <w:t>一体化装置架构图</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感知层中用户端用能多尺度采集及能效计算评价一体化装置用于采集多能设备，采用模块化、平台化设计方案。综合服务管理单元负责与企业管理平台数据交互，以及控制多能设备。</w:t>
      </w:r>
    </w:p>
    <w:p>
      <w:pPr>
        <w:pStyle w:val="26"/>
        <w:pageBreakBefore w:val="0"/>
        <w:numPr>
          <w:ilvl w:val="0"/>
          <w:numId w:val="23"/>
        </w:numPr>
        <w:kinsoku/>
        <w:overflowPunct/>
        <w:topLinePunct w:val="0"/>
        <w:bidi w:val="0"/>
        <w:spacing w:line="360" w:lineRule="auto"/>
        <w:ind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一体化装置硬件设计及功能描述</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体化装置在硬件上优先选用国际一流的元器件，针对南方地区雷电活动剧烈而密集特点，采用专业的防雷设计。一体化装置采用主频为300MHz的高性能处理器NUC972，该处理器处理速度可达203MIPS。内部集成有64M字节的DDR，将高速信号集成到芯片内部，保证处理器与DDR之间连接阻抗最小以及信号完整性，提高系统抗干扰能力，同时配套采用容量为256MB的NAND FLASH，运行LINUX操作系统，具有强大的数据存储及处理功能，能够适应企业能源数据采集的多种类、多尺度、多类型的特点数据，并能够对关键耗能设备进行在线能效计算评价。</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主要功能如下：</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交流采样 </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交流采样包括电压计量，电流计量、功率计量，电压规格：3X220V/380V   3X100V 3X57.7V。电流规格：一般是1A(10A)，220V的大电流规格5（80A）。 </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无源遥信输入DI</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遥信为外部设备输入到一体化装置的一个开关量信号，用于反馈外部设备的状态。一体化装置本身遥信回路自带电源，外部输入是一个开关接点。</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遥控DO</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采用继电器输出，控制外部设备或者外部中间继电器的关断。</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触点额定功率：交流250V/5A，380V/2A或直流110V/0.5A的纯电阻负载；</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触点寿命：通、断上述额定电流不少于105次。</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脉冲采集 </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脉冲采集为一体化装置采集电能表有功脉冲和无功脉冲输出，通过采集电能表脉冲输出的个数，根据设置脉冲常数Kp（imp/kWh或imp/kvarh）、TV变比KTV、TA变比KTA计算1min平均功率。</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下行通道1：RS485/M-bus抄表</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一体化装置通过RS-485/M-BUS总线和电能表、水表、燃气表、热量表通信，把数据抄回一体化装置处理，存储等。具备3路RS-485、2路M-BUS，每个485/M-BUS接口可以抄读32块表计。RS485能够承受380V误接强电冲击；</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支持 modbus\DLT645-1997\DLT645-2007 等水汽仪表、电表的通讯规约。</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下行通道2：4-20mA电流输入</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一体化装置通过4-20mA电流抄读电能表数据及各类传感设备。</w:t>
      </w:r>
    </w:p>
    <w:p>
      <w:pPr>
        <w:pStyle w:val="26"/>
        <w:pageBreakBefore w:val="0"/>
        <w:numPr>
          <w:ilvl w:val="0"/>
          <w:numId w:val="24"/>
        </w:numPr>
        <w:kinsoku/>
        <w:overflowPunct/>
        <w:topLinePunct w:val="0"/>
        <w:bidi w:val="0"/>
        <w:spacing w:line="360" w:lineRule="auto"/>
        <w:ind w:left="845"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时钟</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具备硬件实时时钟，并具备温度补偿。时钟具备单独时钟电池，保证一体化装置在没电的情况下一体化装置的时钟可运行10年。</w:t>
      </w:r>
    </w:p>
    <w:p>
      <w:pPr>
        <w:pStyle w:val="5"/>
        <w:pageBreakBefore w:val="0"/>
        <w:kinsoku/>
        <w:overflowPunct/>
        <w:topLinePunct w:val="0"/>
        <w:bidi w:val="0"/>
        <w:spacing w:line="360" w:lineRule="auto"/>
        <w:ind w:left="864" w:leftChars="0" w:hanging="864" w:firstLineChars="0"/>
        <w:rPr>
          <w:rFonts w:hint="eastAsia"/>
        </w:rPr>
      </w:pPr>
      <w:bookmarkStart w:id="161" w:name="_Toc36562871"/>
      <w:r>
        <w:rPr>
          <w:rFonts w:hint="eastAsia"/>
        </w:rPr>
        <w:t>接口板</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接口板在WFCT-980-V1.0（海外载波G3通信网关）接口板基础上改动，改动为3路485、1路CAN、2路MBUS接口、2路遥信，新唐972平台硬件资源配置如下表，绿色标注为新增部分。</w:t>
      </w:r>
    </w:p>
    <w:p>
      <w:pPr>
        <w:pageBreakBefore w:val="0"/>
        <w:kinsoku/>
        <w:overflowPunct/>
        <w:topLinePunct w:val="0"/>
        <w:bidi w:val="0"/>
        <w:spacing w:line="360" w:lineRule="auto"/>
        <w:ind w:firstLine="480" w:firstLineChars="200"/>
      </w:pPr>
      <w:r>
        <w:drawing>
          <wp:inline distT="0" distB="0" distL="114300" distR="114300">
            <wp:extent cx="5000625" cy="5076825"/>
            <wp:effectExtent l="0" t="0" r="952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7"/>
                    <a:stretch>
                      <a:fillRect/>
                    </a:stretch>
                  </pic:blipFill>
                  <pic:spPr>
                    <a:xfrm>
                      <a:off x="0" y="0"/>
                      <a:ext cx="5000625" cy="5076825"/>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rPr>
      </w:pPr>
      <w:r>
        <w:t>图3</w:t>
      </w:r>
      <w:r>
        <w:rPr>
          <w:rFonts w:hint="eastAsia"/>
        </w:rPr>
        <w:t>-</w:t>
      </w:r>
      <w:r>
        <w:t xml:space="preserve">12  </w:t>
      </w:r>
      <w:r>
        <w:rPr>
          <w:rFonts w:hint="eastAsia"/>
        </w:rPr>
        <w:t>一体化装置接口板结构图</w:t>
      </w:r>
    </w:p>
    <w:p>
      <w:pPr>
        <w:pStyle w:val="11"/>
        <w:pageBreakBefore w:val="0"/>
        <w:kinsoku/>
        <w:overflowPunct/>
        <w:topLinePunct w:val="0"/>
        <w:bidi w:val="0"/>
        <w:spacing w:line="360" w:lineRule="auto"/>
        <w:ind w:firstLine="420"/>
        <w:jc w:val="center"/>
        <w:rPr>
          <w:rFonts w:eastAsia="宋体"/>
        </w:rPr>
      </w:pPr>
      <w:r>
        <w:rPr>
          <w:rFonts w:hint="eastAsia"/>
        </w:rPr>
        <w:t>表</w:t>
      </w:r>
      <w:r>
        <w:t>3</w:t>
      </w:r>
      <w:r>
        <w:rPr>
          <w:rFonts w:hint="eastAsia"/>
        </w:rPr>
        <w:t>-</w:t>
      </w:r>
      <w:r>
        <w:t xml:space="preserve">1  </w:t>
      </w:r>
      <w:r>
        <w:rPr>
          <w:rFonts w:hint="eastAsia"/>
        </w:rPr>
        <w:t>一体化装置资源列表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373"/>
        <w:gridCol w:w="1283"/>
        <w:gridCol w:w="436"/>
        <w:gridCol w:w="266"/>
        <w:gridCol w:w="328"/>
        <w:gridCol w:w="997"/>
        <w:gridCol w:w="4614"/>
        <w:gridCol w:w="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Height w:val="383" w:hRule="atLeas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编号</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名称</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管脚</w:t>
            </w:r>
          </w:p>
        </w:tc>
        <w:tc>
          <w:tcPr>
            <w:tcW w:w="3198"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Height w:val="452" w:hRule="atLeas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终端ID:AD4，采样电压3V</w:t>
            </w:r>
          </w:p>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电阻选焊版本ID:0100  J1（0）J2（0）J3（1）J4（0）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GPRS\CDMA通信模块接口（串口0，GPRS串口）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Height w:val="395" w:hRule="atLeas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GPRS_CTRL</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PB1</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GPRS\CDMA模块电源起动（正脉冲，大于4s）（输出）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SOFTRESET</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PH14</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GPRS\CDMA模块软复位 (输出) ，初始化为低。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Height w:val="683" w:hRule="atLeas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ON/OFF</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PH15</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GPRS\CDMA模块加电信号（在通信模块中实现） (输出) ，初始化为低。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RXD0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PI2</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数据接收（Receive）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TXD0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数据发送(Transtmit)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RTS0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PI3</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串口0发送请求信号输出，与通信模块通信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CTS0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PI4</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允许串口0发送信号输入，与通信模块通信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DTR0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PI5</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串口0准备就绪，与通信模块通信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STATE0</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PI6</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输入，模块ID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STATE1</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PI7</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输入，模块ID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STATE2</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PI8</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输入，模块ID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STATE3</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PI9</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输入，模块ID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STATE4</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PI10</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输入，模块ID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bookmarkStart w:id="162" w:name="_Hlk197175877"/>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DRXD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维护接收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DTXD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PE0</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维护发送</w:t>
            </w:r>
          </w:p>
        </w:tc>
      </w:tr>
      <w:bookmarkEnd w:id="1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PLC_RED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PH4</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载波状态指示绿灯，低电平点亮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PLC_GREEN</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PH5</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载波状态指示红灯，低电平点亮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4G_RED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PH6</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4G状态指示绿灯，低电平点亮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4G_GREEN</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PH7</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4G状态指示红灯，低电平点亮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ETH2_RED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PH8</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以太网2状态指示绿灯，低电平点亮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ETH2_GREEN</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PH9</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以太网2状态指示红灯，低电平点亮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ETH1_RED</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PH10</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以太网1状态指示绿灯，低电平点亮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ETH1_GREEN</w:t>
            </w:r>
          </w:p>
        </w:tc>
        <w:tc>
          <w:tcPr>
            <w:tcW w:w="37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PH11</w:t>
            </w:r>
          </w:p>
        </w:tc>
        <w:tc>
          <w:tcPr>
            <w:tcW w:w="71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以太网1状态指示红灯，低电平点亮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59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92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UR2-RXD4</w:t>
            </w:r>
          </w:p>
        </w:tc>
        <w:tc>
          <w:tcPr>
            <w:tcW w:w="32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PF12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59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92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UR2-TXD4</w:t>
            </w:r>
          </w:p>
        </w:tc>
        <w:tc>
          <w:tcPr>
            <w:tcW w:w="32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PF11</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59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924"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SET_DCE</w:t>
            </w:r>
          </w:p>
        </w:tc>
        <w:tc>
          <w:tcPr>
            <w:tcW w:w="321"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PD9</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载波模块设置，输出高。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RST_DCE</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PD8</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载波模块复位，高电平有效，初始化为输出低电平。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Height w:val="448" w:hRule="atLeas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PLC-DETECT</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PD15</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载波模块插入检测,低电平有效。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plc-module-power</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PD11</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载波模块电源，初始化为高，有效电平高。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WIFI_RET_ON</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PD6</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WIFI内部开机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WIFI_DATA3</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PD5</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 SDIO数据线3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 DATA2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PD4</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 SDIO数据线2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 DATA1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PD3</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 SDIO数据线1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 DATA0</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 SDIO数据线0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WIFI_CLK</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PD1</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WIFI数据时钟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WIFI_CMD</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PD0</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 SDIO命令输入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WIFI_PWR</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PH3</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WIFI电源，低电平打开电源，建议初始化为高。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WIFI_WAKEUP</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WIFI唤醒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4857" w:type="pct"/>
            <w:gridSpan w:val="8"/>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电池管理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CHARGE</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PG11</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电池充电开关,置1充电（输出），默认为0。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BATT-CTRL</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PG12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关电池输出，低电平关电池（输出），默认为1。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WDT</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PD7</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硬件看门狗，喂狗信号（输出）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3" w:type="pct"/>
        </w:trPr>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Discharge</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PD14</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484"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放电控制，高电平放电，默认为低电平。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POW_DOWN</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PA15</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外部掉电信号，0为掉电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RS-485接口说明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485-RXD1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PB3</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1接收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485-TXD1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1发送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485-RD1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PB4</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w:t>
            </w: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485-1的流控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485-TXD2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PB5</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2接收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485-RXD2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PB6</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2发送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485-RD2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PB7</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485-2的流控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485-TXD3</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PB8</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3接收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485-RXD3</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PB9</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 3发送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485-RD3</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PB12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485-3的流控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AD4</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AD4</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AD2</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备用电池电压采集 BATT.1/3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AD3</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AD6</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时钟电池电压采集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以太网接口1 PHY 83848K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EMDIO</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PF1</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网络控制器管理数据输入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EMDC</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PF0</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网络控制器管理数据时钟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ETXCK</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PF5</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ERXER</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PF9</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网络控制器接收数据错误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ERXDV</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PF8</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网络控制器接收数据有效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ETXEN</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PF4</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网络控制发送使能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PF7</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网络控制器接受1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ERX0</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PF6</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网络控制器接受0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PF3</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ETX0</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PF2</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ERST</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PF10</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输出口，以太网1复位控制引脚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50MHz</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PE13</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输出，以太网50MHz输出，替代有源晶振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以太网接口2 PHY 83848K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EMDIO</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PE3</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网络控制器管理数据输入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EMDC</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PE2</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网络控制器管理数据时钟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ETXCK</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PE7</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ERXER</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PE11</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网络控制器接收数据错误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ERXDV</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PE10</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网络控制器接收数据有效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ETXEN</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PE6</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网络控制发送使能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PE9</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网络控制器接受1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ERX0</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PE8</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网络控制器接受0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PE5</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ETX0</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PE4</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网络控制器发送0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ET_RST1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PE12</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输出口，以太网复位控制引脚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时钟  硬件芯片为 RX-8025T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IIC-DA</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PG1</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数据线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IIC-CLK</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PG0</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时钟线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遥信输入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KEY1-OUT</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PE14</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取出检测输入，终端从外壳取出时为高电平，安装到外壳中为低电平。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KEY2-TAIL</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尾盖检测输入，尾盖取下时为高电平，尾盖盖上时为低电平。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DOOR1</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PH12</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门接点1输入，默认是高电平，外部遥信闭合时为低电平。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DOOR2</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PH13</w:t>
            </w:r>
          </w:p>
        </w:tc>
        <w:tc>
          <w:tcPr>
            <w:tcW w:w="536"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p>
        </w:tc>
        <w:tc>
          <w:tcPr>
            <w:tcW w:w="2628"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门接点2输入，默认是高电平，外部遥信闭合时为低电平。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CANT</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PB15</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CANR</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PB16</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OVER-LOAD</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PI11</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MBUS过载检测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MBUS_TXD</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PI13</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MBUS_RXD</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PI14</w:t>
            </w:r>
          </w:p>
        </w:tc>
        <w:tc>
          <w:tcPr>
            <w:tcW w:w="3164"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MBUS1-CTL</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PI15</w:t>
            </w:r>
          </w:p>
        </w:tc>
        <w:tc>
          <w:tcPr>
            <w:tcW w:w="3164" w:type="pct"/>
            <w:gridSpan w:val="3"/>
            <w:shd w:val="clear" w:color="auto" w:fill="auto"/>
            <w:vAlign w:val="center"/>
          </w:tcPr>
          <w:p>
            <w:pPr>
              <w:pStyle w:val="28"/>
              <w:pageBreakBefore w:val="0"/>
              <w:kinsoku/>
              <w:overflowPunct/>
              <w:topLinePunct w:val="0"/>
              <w:bidi w:val="0"/>
              <w:spacing w:after="0" w:afterLines="0" w:line="360" w:lineRule="auto"/>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MBU1发送控制，MBUS1-CTL为高电平时，MBUS1发送，MBUS1-CTL为低电平时，MBUS1停止发送。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889" w:type="pct"/>
            <w:gridSpan w:val="2"/>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MBUS2-CTL</w:t>
            </w:r>
          </w:p>
        </w:tc>
        <w:tc>
          <w:tcPr>
            <w:tcW w:w="556" w:type="pct"/>
            <w:gridSpan w:val="3"/>
            <w:shd w:val="clear" w:color="auto" w:fill="auto"/>
            <w:vAlign w:val="center"/>
          </w:tcPr>
          <w:p>
            <w:pPr>
              <w:pStyle w:val="28"/>
              <w:pageBreakBefore w:val="0"/>
              <w:kinsoku/>
              <w:overflowPunct/>
              <w:topLinePunct w:val="0"/>
              <w:bidi w:val="0"/>
              <w:spacing w:after="0" w:afterLines="0" w:line="360" w:lineRule="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PB0</w:t>
            </w:r>
          </w:p>
        </w:tc>
        <w:tc>
          <w:tcPr>
            <w:tcW w:w="3164" w:type="pct"/>
            <w:gridSpan w:val="3"/>
            <w:shd w:val="clear" w:color="auto" w:fill="auto"/>
            <w:vAlign w:val="center"/>
          </w:tcPr>
          <w:p>
            <w:pPr>
              <w:pStyle w:val="28"/>
              <w:pageBreakBefore w:val="0"/>
              <w:kinsoku/>
              <w:overflowPunct/>
              <w:topLinePunct w:val="0"/>
              <w:bidi w:val="0"/>
              <w:spacing w:after="0" w:afterLines="0" w:line="360" w:lineRule="auto"/>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MBU2发送控制，MBUS2-CTL为高电平时，MBUS2发送，MBUS2-CTL为低电平时，MBUS2停止发送。</w:t>
            </w:r>
          </w:p>
        </w:tc>
      </w:tr>
    </w:tbl>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其次由于MBUS、CAN、485都布在电源板上，需连接至972芯片，电源板接口插针由原来的2*6插座改为两个2*7的插座。</w:t>
      </w:r>
    </w:p>
    <w:p>
      <w:pPr>
        <w:pStyle w:val="5"/>
        <w:pageBreakBefore w:val="0"/>
        <w:kinsoku/>
        <w:overflowPunct/>
        <w:topLinePunct w:val="0"/>
        <w:bidi w:val="0"/>
        <w:spacing w:line="360" w:lineRule="auto"/>
        <w:ind w:left="864" w:leftChars="0" w:hanging="864" w:firstLineChars="0"/>
        <w:rPr>
          <w:rFonts w:hint="eastAsia"/>
        </w:rPr>
      </w:pPr>
      <w:r>
        <w:rPr>
          <w:rFonts w:hint="eastAsia"/>
        </w:rPr>
        <w:t>电源板</w:t>
      </w:r>
    </w:p>
    <w:p>
      <w:pPr>
        <w:pStyle w:val="27"/>
        <w:pageBreakBefore w:val="0"/>
        <w:kinsoku/>
        <w:overflowPunct/>
        <w:topLinePunct w:val="0"/>
        <w:bidi w:val="0"/>
        <w:spacing w:line="360" w:lineRule="auto"/>
      </w:pPr>
      <w:r>
        <w:drawing>
          <wp:inline distT="0" distB="0" distL="114300" distR="114300">
            <wp:extent cx="5090160" cy="3390900"/>
            <wp:effectExtent l="0" t="0" r="0"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8"/>
                    <a:stretch>
                      <a:fillRect/>
                    </a:stretch>
                  </pic:blipFill>
                  <pic:spPr>
                    <a:xfrm>
                      <a:off x="0" y="0"/>
                      <a:ext cx="5090160" cy="3390900"/>
                    </a:xfrm>
                    <a:prstGeom prst="rect">
                      <a:avLst/>
                    </a:prstGeom>
                    <a:noFill/>
                    <a:ln>
                      <a:noFill/>
                    </a:ln>
                  </pic:spPr>
                </pic:pic>
              </a:graphicData>
            </a:graphic>
          </wp:inline>
        </w:drawing>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rPr>
      </w:pPr>
      <w:r>
        <w:t>图3</w:t>
      </w:r>
      <w:r>
        <w:rPr>
          <w:rFonts w:hint="eastAsia"/>
        </w:rPr>
        <w:t>-</w:t>
      </w:r>
      <w:r>
        <w:t xml:space="preserve">13  </w:t>
      </w:r>
      <w:r>
        <w:rPr>
          <w:rFonts w:hint="eastAsia"/>
        </w:rPr>
        <w:t>电源板架构图</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63" w:name="_Toc11491"/>
      <w:bookmarkStart w:id="164" w:name="_Toc7820"/>
      <w:bookmarkStart w:id="165" w:name="_Toc15339"/>
      <w:r>
        <w:rPr>
          <w:rFonts w:hint="eastAsia"/>
          <w:lang w:val="en-US" w:eastAsia="zh-CN"/>
        </w:rPr>
        <w:t>装置数据采集</w:t>
      </w:r>
      <w:bookmarkEnd w:id="161"/>
      <w:bookmarkEnd w:id="163"/>
      <w:bookmarkEnd w:id="164"/>
      <w:bookmarkEnd w:id="165"/>
    </w:p>
    <w:p>
      <w:pPr>
        <w:pStyle w:val="26"/>
        <w:pageBreakBefore w:val="0"/>
        <w:numPr>
          <w:ilvl w:val="0"/>
          <w:numId w:val="23"/>
        </w:numPr>
        <w:kinsoku/>
        <w:overflowPunct/>
        <w:topLinePunct w:val="0"/>
        <w:bidi w:val="0"/>
        <w:spacing w:line="360" w:lineRule="auto"/>
        <w:ind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综合能源数据采集功能详细设计</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综合能源采集控制方案从能源的生产、传输、转换、存储、消费等环节出发，实现工业企业各供用能系统的实时感知，实现分布式光伏、风电、热电厂、储能等多能源协调优化控制，优化能源结构配置，提升能源综合利用水平，降低企业的工业企业综合能耗，提高企业经济效益。</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体化装置通过对电、水、气、风、热量等综合能源数据采集与分析，对用户端所有能耗进行细分、统计和分析，以直观的数据和图表向管理人员或决策层展示各类能源的使用消耗情况，便于找出高耗能点或不合理的耗能习惯，有效节约能源，为用户进一步节能改造或设备升级提供准确的数据支撑，同时提供多元化的企业用户综合需求侧管理，提升企业面向电力市场的竞价决策能力。</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针对综合能源数据梳理需要采控的能源通用设备，明确设备的采集控制点位、一体化装饰和数据项，详细的数据采集功能详细设计如下：</w:t>
      </w:r>
    </w:p>
    <w:p>
      <w:pPr>
        <w:pStyle w:val="11"/>
        <w:pageBreakBefore w:val="0"/>
        <w:kinsoku/>
        <w:overflowPunct/>
        <w:topLinePunct w:val="0"/>
        <w:bidi w:val="0"/>
        <w:spacing w:line="360" w:lineRule="auto"/>
        <w:ind w:firstLine="420"/>
        <w:jc w:val="center"/>
        <w:rPr>
          <w:rFonts w:eastAsia="宋体" w:asciiTheme="minorEastAsia" w:hAnsiTheme="minorEastAsia" w:cstheme="minorEastAsia"/>
          <w:sz w:val="24"/>
          <w:szCs w:val="24"/>
        </w:rPr>
      </w:pPr>
      <w:r>
        <w:t>表</w:t>
      </w:r>
      <w:r>
        <w:rPr>
          <w:rFonts w:hint="eastAsia"/>
        </w:rPr>
        <w:t>3-</w:t>
      </w:r>
      <w:r>
        <w:t xml:space="preserve">2  </w:t>
      </w:r>
      <w:r>
        <w:rPr>
          <w:rFonts w:hint="eastAsia"/>
        </w:rPr>
        <w:t>装置数据采集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304"/>
        <w:gridCol w:w="1505"/>
        <w:gridCol w:w="1379"/>
        <w:gridCol w:w="1436"/>
        <w:gridCol w:w="121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31"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系统场景</w:t>
            </w:r>
          </w:p>
        </w:tc>
        <w:tc>
          <w:tcPr>
            <w:tcW w:w="701"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能源设备</w:t>
            </w:r>
          </w:p>
        </w:tc>
        <w:tc>
          <w:tcPr>
            <w:tcW w:w="810"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采控点描述</w:t>
            </w:r>
          </w:p>
        </w:tc>
        <w:tc>
          <w:tcPr>
            <w:tcW w:w="742"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采控装置</w:t>
            </w:r>
          </w:p>
        </w:tc>
        <w:tc>
          <w:tcPr>
            <w:tcW w:w="773"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采控数据项</w:t>
            </w:r>
          </w:p>
        </w:tc>
        <w:tc>
          <w:tcPr>
            <w:tcW w:w="655"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采集接口</w:t>
            </w:r>
          </w:p>
        </w:tc>
        <w:tc>
          <w:tcPr>
            <w:tcW w:w="685" w:type="pct"/>
            <w:vAlign w:val="center"/>
          </w:tcPr>
          <w:p>
            <w:pPr>
              <w:pageBreakBefore w:val="0"/>
              <w:widowControl/>
              <w:kinsoku/>
              <w:overflowPunct/>
              <w:topLinePunct w:val="0"/>
              <w:bidi w:val="0"/>
              <w:spacing w:line="360" w:lineRule="auto"/>
              <w:jc w:val="center"/>
              <w:rPr>
                <w:rFonts w:ascii="宋体" w:hAnsi="宋体" w:cs="宋体"/>
                <w:b/>
                <w:bCs/>
                <w:kern w:val="0"/>
                <w:sz w:val="21"/>
                <w:szCs w:val="21"/>
              </w:rPr>
            </w:pPr>
            <w:r>
              <w:rPr>
                <w:rFonts w:hint="eastAsia" w:ascii="宋体" w:hAnsi="宋体" w:cs="宋体"/>
                <w:b/>
                <w:bCs/>
                <w:kern w:val="0"/>
                <w:sz w:val="21"/>
                <w:szCs w:val="21"/>
              </w:rPr>
              <w:t>采集协议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分布式可再生能源发电系统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光伏发电</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光伏并网、上网供电采控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风力发电</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风力并网、上网供电采控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空调系统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热泵（空气源热泵，地源热泵）</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热泵机组的用电采控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制冷机组（涡旋式制冷主机、螺杆式制冷主机、离心式制冷主机）</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制冷机组的用电采控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电锅炉（电压锅炉和电极锅炉）</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电锅炉的用电采控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燃气锅炉</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燃气锅炉的用气采控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一体化装置+气表（状态量）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气量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循环泵</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循环泵的用电采控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循环管网</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循环管网室内侧总管的用水采控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流量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循环管网室内侧总管供、回水的温度采集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p>
            <w:pPr>
              <w:pageBreakBefore w:val="0"/>
              <w:widowControl/>
              <w:kinsoku/>
              <w:overflowPunct/>
              <w:topLinePunct w:val="0"/>
              <w:bidi w:val="0"/>
              <w:spacing w:line="360" w:lineRule="auto"/>
              <w:jc w:val="center"/>
              <w:rPr>
                <w:rFonts w:ascii="宋体" w:hAnsi="宋体"/>
                <w:sz w:val="21"/>
                <w:szCs w:val="21"/>
              </w:rPr>
            </w:pPr>
          </w:p>
        </w:tc>
        <w:tc>
          <w:tcPr>
            <w:tcW w:w="685" w:type="pct"/>
            <w:vAlign w:val="center"/>
          </w:tcPr>
          <w:p>
            <w:pPr>
              <w:pageBreakBefore w:val="0"/>
              <w:widowControl/>
              <w:kinsoku/>
              <w:overflowPunct/>
              <w:topLinePunct w:val="0"/>
              <w:bidi w:val="0"/>
              <w:spacing w:line="360" w:lineRule="auto"/>
              <w:jc w:val="center"/>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循环管网室内侧总管供、回水的压力数据采集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一体化装置+压力传感器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压力</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冷却塔</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冷却塔的用电采控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三联供系统</w:t>
            </w: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燃气轮机</w:t>
            </w:r>
          </w:p>
        </w:tc>
        <w:tc>
          <w:tcPr>
            <w:tcW w:w="810" w:type="pct"/>
            <w:vAlign w:val="center"/>
          </w:tcPr>
          <w:p>
            <w:pPr>
              <w:pageBreakBefore w:val="0"/>
              <w:widowControl/>
              <w:kinsoku/>
              <w:overflowPunct/>
              <w:topLinePunct w:val="0"/>
              <w:bidi w:val="0"/>
              <w:spacing w:line="360" w:lineRule="auto"/>
              <w:jc w:val="center"/>
              <w:rPr>
                <w:rFonts w:ascii="宋体" w:hAnsi="宋体" w:cs="宋体"/>
                <w:color w:val="000000"/>
                <w:kern w:val="0"/>
                <w:sz w:val="21"/>
                <w:szCs w:val="21"/>
              </w:rPr>
            </w:pPr>
            <w:r>
              <w:rPr>
                <w:rFonts w:hint="eastAsia" w:ascii="宋体" w:hAnsi="宋体" w:cs="宋体"/>
                <w:color w:val="000000"/>
                <w:kern w:val="0"/>
                <w:sz w:val="21"/>
                <w:szCs w:val="21"/>
              </w:rPr>
              <w:t>燃气轮机进气管用气采控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一体化装置+气表（状态量）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气量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color w:val="000000"/>
                <w:kern w:val="0"/>
                <w:sz w:val="21"/>
                <w:szCs w:val="21"/>
              </w:rPr>
            </w:pPr>
            <w:r>
              <w:rPr>
                <w:rFonts w:hint="eastAsia" w:ascii="宋体" w:hAnsi="宋体" w:cs="宋体"/>
                <w:color w:val="000000"/>
                <w:kern w:val="0"/>
                <w:sz w:val="21"/>
                <w:szCs w:val="21"/>
              </w:rPr>
              <w:t>发电机输出用电采控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color w:val="000000"/>
                <w:kern w:val="0"/>
                <w:sz w:val="21"/>
                <w:szCs w:val="21"/>
              </w:rPr>
            </w:pPr>
            <w:r>
              <w:rPr>
                <w:rFonts w:hint="eastAsia" w:ascii="宋体" w:hAnsi="宋体" w:cs="宋体"/>
                <w:color w:val="000000"/>
                <w:kern w:val="0"/>
                <w:sz w:val="21"/>
                <w:szCs w:val="21"/>
              </w:rPr>
              <w:t>采暖换热器的蒸汽用热采集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一体化装置+热量表（状态量）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储能系统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电储能</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电储并网用电采控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冰蓄能</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冰蓄用电采控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冷凝器温度采集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p>
            <w:pPr>
              <w:pageBreakBefore w:val="0"/>
              <w:widowControl/>
              <w:kinsoku/>
              <w:overflowPunct/>
              <w:topLinePunct w:val="0"/>
              <w:bidi w:val="0"/>
              <w:spacing w:line="360" w:lineRule="auto"/>
              <w:jc w:val="center"/>
              <w:rPr>
                <w:rFonts w:ascii="宋体" w:hAnsi="宋体"/>
                <w:sz w:val="21"/>
                <w:szCs w:val="21"/>
              </w:rPr>
            </w:pPr>
          </w:p>
        </w:tc>
        <w:tc>
          <w:tcPr>
            <w:tcW w:w="685" w:type="pct"/>
            <w:vAlign w:val="center"/>
          </w:tcPr>
          <w:p>
            <w:pPr>
              <w:pageBreakBefore w:val="0"/>
              <w:widowControl/>
              <w:kinsoku/>
              <w:overflowPunct/>
              <w:topLinePunct w:val="0"/>
              <w:bidi w:val="0"/>
              <w:spacing w:line="360" w:lineRule="auto"/>
              <w:jc w:val="center"/>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热储能</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热储能温度采集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p>
            <w:pPr>
              <w:pageBreakBefore w:val="0"/>
              <w:widowControl/>
              <w:kinsoku/>
              <w:overflowPunct/>
              <w:topLinePunct w:val="0"/>
              <w:bidi w:val="0"/>
              <w:spacing w:line="360" w:lineRule="auto"/>
              <w:jc w:val="center"/>
              <w:rPr>
                <w:rFonts w:ascii="宋体" w:hAnsi="宋体"/>
                <w:sz w:val="21"/>
                <w:szCs w:val="21"/>
              </w:rPr>
            </w:pPr>
          </w:p>
        </w:tc>
        <w:tc>
          <w:tcPr>
            <w:tcW w:w="685" w:type="pct"/>
            <w:vAlign w:val="center"/>
          </w:tcPr>
          <w:p>
            <w:pPr>
              <w:pageBreakBefore w:val="0"/>
              <w:widowControl/>
              <w:kinsoku/>
              <w:overflowPunct/>
              <w:topLinePunct w:val="0"/>
              <w:bidi w:val="0"/>
              <w:spacing w:line="360" w:lineRule="auto"/>
              <w:jc w:val="center"/>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热储能用水采控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流量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热储能配电柜用电采控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气储能</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冷热水进出口水流压力采集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一体化装置+压力传感器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压力</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气调压箱进气口和出气口压力采集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一体化装置+压力传感器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压力</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调压箱温度采集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配电柜用电采控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能源回收系统</w:t>
            </w: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省煤器</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给水管道的入户进水管用水采控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水量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给水管道的入户进水管用水采控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一体化装置+压力传感器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压力</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热回收机组</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热回收装置温度采集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热回收装置高温烟气出气管用水采集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流量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蒸汽供汽管用水采控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流量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蒸汽供汽管温度采集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热交换器进水采控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一体化装置+水表（状态量）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流量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热交换器进、出水管温度采集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变频器用电采控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代运维系统</w:t>
            </w: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配电房</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变压器负荷监测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变压器温度监测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零序电流采集</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电缆头温度监测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电缆沟浸水监测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湿度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环境温湿度监测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一体化装置+温湿度传感</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温度、湿度</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有害气体监测</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一体化装置+环境传感器</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有害气体量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485、LORA、CAN</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Modbus TCP/ RTU、Coap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风机系统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风机总</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总风机楼层用电采控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风机分</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风机楼层用电采控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照明系统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照明总</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楼宇照明用电采控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照明分</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楼层照明用电采控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电梯系统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电梯</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电梯用电采控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厨房</w:t>
            </w:r>
          </w:p>
        </w:tc>
        <w:tc>
          <w:tcPr>
            <w:tcW w:w="701" w:type="pct"/>
            <w:vMerge w:val="restar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厨房设备</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配电房厨房柜</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一体化装置+电表（状态量）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485、PLC/HPLC、蓝牙</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DL/T645、</w:t>
            </w:r>
            <w:r>
              <w:rPr>
                <w:rFonts w:ascii="宋体" w:hAnsi="宋体"/>
                <w:sz w:val="21"/>
                <w:szCs w:val="21"/>
              </w:rPr>
              <w:t>IEC103</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701" w:type="pct"/>
            <w:vMerge w:val="continue"/>
            <w:vAlign w:val="center"/>
          </w:tcPr>
          <w:p>
            <w:pPr>
              <w:pageBreakBefore w:val="0"/>
              <w:widowControl/>
              <w:kinsoku/>
              <w:overflowPunct/>
              <w:topLinePunct w:val="0"/>
              <w:bidi w:val="0"/>
              <w:spacing w:line="360" w:lineRule="auto"/>
              <w:jc w:val="center"/>
              <w:rPr>
                <w:rFonts w:ascii="宋体" w:hAnsi="宋体" w:cs="宋体"/>
                <w:kern w:val="0"/>
                <w:sz w:val="21"/>
                <w:szCs w:val="21"/>
              </w:rPr>
            </w:pP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厨房用气采控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一体化装置+气表（状态量）</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气量</w:t>
            </w:r>
          </w:p>
        </w:tc>
        <w:tc>
          <w:tcPr>
            <w:tcW w:w="65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M-BUS、485、LORA</w:t>
            </w:r>
          </w:p>
        </w:tc>
        <w:tc>
          <w:tcPr>
            <w:tcW w:w="685" w:type="pct"/>
            <w:vAlign w:val="center"/>
          </w:tcPr>
          <w:p>
            <w:pPr>
              <w:pageBreakBefore w:val="0"/>
              <w:kinsoku/>
              <w:overflowPunct/>
              <w:topLinePunct w:val="0"/>
              <w:bidi w:val="0"/>
              <w:adjustRightInd w:val="0"/>
              <w:snapToGrid w:val="0"/>
              <w:spacing w:line="360" w:lineRule="auto"/>
              <w:jc w:val="left"/>
              <w:rPr>
                <w:rFonts w:ascii="宋体" w:hAnsi="宋体"/>
                <w:sz w:val="21"/>
                <w:szCs w:val="21"/>
              </w:rPr>
            </w:pPr>
            <w:r>
              <w:rPr>
                <w:rFonts w:hint="eastAsia" w:ascii="宋体" w:hAnsi="宋体"/>
                <w:sz w:val="21"/>
                <w:szCs w:val="21"/>
              </w:rPr>
              <w:t>CJ/T188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多表集抄系统</w:t>
            </w:r>
          </w:p>
        </w:tc>
        <w:tc>
          <w:tcPr>
            <w:tcW w:w="701"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电、水、气、热一体化采集</w:t>
            </w:r>
          </w:p>
        </w:tc>
        <w:tc>
          <w:tcPr>
            <w:tcW w:w="810"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大型园区总能采控</w:t>
            </w:r>
          </w:p>
        </w:tc>
        <w:tc>
          <w:tcPr>
            <w:tcW w:w="742"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综合能源网关</w:t>
            </w:r>
          </w:p>
        </w:tc>
        <w:tc>
          <w:tcPr>
            <w:tcW w:w="773"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电流、电压、有功、电量</w:t>
            </w:r>
          </w:p>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水量、热量、气量</w:t>
            </w:r>
          </w:p>
        </w:tc>
        <w:tc>
          <w:tcPr>
            <w:tcW w:w="655"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以上</w:t>
            </w:r>
          </w:p>
        </w:tc>
        <w:tc>
          <w:tcPr>
            <w:tcW w:w="685" w:type="pct"/>
            <w:vAlign w:val="center"/>
          </w:tcPr>
          <w:p>
            <w:pPr>
              <w:pageBreakBefore w:val="0"/>
              <w:widowControl/>
              <w:kinsoku/>
              <w:overflowPunct/>
              <w:topLinePunct w:val="0"/>
              <w:bidi w:val="0"/>
              <w:spacing w:line="360" w:lineRule="auto"/>
              <w:jc w:val="center"/>
              <w:rPr>
                <w:rFonts w:ascii="宋体" w:hAnsi="宋体" w:cs="宋体"/>
                <w:kern w:val="0"/>
                <w:sz w:val="21"/>
                <w:szCs w:val="21"/>
              </w:rPr>
            </w:pPr>
            <w:r>
              <w:rPr>
                <w:rFonts w:hint="eastAsia" w:ascii="宋体" w:hAnsi="宋体" w:cs="宋体"/>
                <w:kern w:val="0"/>
                <w:sz w:val="21"/>
                <w:szCs w:val="21"/>
              </w:rPr>
              <w:t>以上</w:t>
            </w:r>
          </w:p>
        </w:tc>
      </w:tr>
    </w:tbl>
    <w:p>
      <w:pPr>
        <w:pStyle w:val="4"/>
        <w:pageBreakBefore w:val="0"/>
        <w:kinsoku/>
        <w:overflowPunct/>
        <w:topLinePunct w:val="0"/>
        <w:bidi w:val="0"/>
        <w:spacing w:line="360" w:lineRule="auto"/>
        <w:ind w:left="720" w:leftChars="0" w:hanging="720" w:firstLineChars="0"/>
        <w:rPr>
          <w:rFonts w:hint="eastAsia"/>
          <w:lang w:val="en-US" w:eastAsia="zh-CN"/>
        </w:rPr>
      </w:pPr>
      <w:bookmarkStart w:id="166" w:name="_Toc19241"/>
      <w:bookmarkStart w:id="167" w:name="_Toc19358"/>
      <w:bookmarkStart w:id="168" w:name="_Toc22329"/>
      <w:bookmarkStart w:id="169" w:name="_Toc36562872"/>
      <w:r>
        <w:rPr>
          <w:rFonts w:hint="eastAsia"/>
          <w:lang w:val="en-US" w:eastAsia="zh-CN"/>
        </w:rPr>
        <w:t>装置设备能效在线评价</w:t>
      </w:r>
      <w:bookmarkEnd w:id="166"/>
      <w:bookmarkEnd w:id="167"/>
      <w:bookmarkEnd w:id="168"/>
      <w:bookmarkEnd w:id="169"/>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一体化装置通过对电、水、气、热量等综合能源数据采集与分析，将数据上传至管理单元及企业管理系统，同时一体化装置可接收企业管理系统决策数据进行本地能效评估。</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一体化装置要实现设备能效评价,首先要制定一套全面客观的指标体系,建立能效指标体系主要有两个目标：</w:t>
      </w:r>
    </w:p>
    <w:p>
      <w:pPr>
        <w:pageBreakBefore w:val="0"/>
        <w:kinsoku/>
        <w:overflowPunct/>
        <w:topLinePunct w:val="0"/>
        <w:bidi w:val="0"/>
        <w:spacing w:line="360" w:lineRule="auto"/>
        <w:ind w:firstLine="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（1）通过指标体系能够反映能效设备的实时能效水平；</w:t>
      </w:r>
    </w:p>
    <w:p>
      <w:pPr>
        <w:pageBreakBefore w:val="0"/>
        <w:kinsoku/>
        <w:overflowPunct/>
        <w:topLinePunct w:val="0"/>
        <w:bidi w:val="0"/>
        <w:spacing w:line="360" w:lineRule="auto"/>
        <w:ind w:firstLine="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（2）通</w:t>
      </w:r>
      <w:r>
        <w:rPr>
          <w:rFonts w:hint="eastAsia" w:asciiTheme="minorEastAsia" w:hAnsiTheme="minorEastAsia" w:eastAsiaTheme="minorEastAsia" w:cstheme="minorEastAsia"/>
          <w:sz w:val="24"/>
          <w:szCs w:val="24"/>
          <w:lang w:val="en-US" w:eastAsia="zh-CN"/>
        </w:rPr>
        <w:t>过构建的指标体系,发现机组运行中的薄弱环节,促进企业能耗企业进行有效调整，达到节能降耗的目的。</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一般能耗设备机组的“关键能效指标”(KPI)是指对机组的系统及设备能耗特性产生主要影响的一组工质参数、设备状态参数或者它们的组合,它是决定机组能耗水平的指标参数集合。</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效指标在线评价方案利用采集终端所采集实时数据，依靠机组的历史运行数据，基于模糊C均值聚类算法，对经稳态筛选与工况划分预处理后的历史运行数据进行多指标同步聚类，根据聚类结果确定能效基准状态。在线量化分析计算能耗设备能量损失分布规律、实现机组能效状态的实时、分级、综合评价，挖掘机组节能潜力、提供优化参数，指导进行相应参数调整。</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70" w:name="_Toc7085"/>
      <w:bookmarkStart w:id="171" w:name="_Toc24591"/>
      <w:bookmarkStart w:id="172" w:name="_Toc20901"/>
      <w:r>
        <w:rPr>
          <w:rFonts w:hint="eastAsia"/>
          <w:lang w:val="en-US" w:eastAsia="zh-CN"/>
        </w:rPr>
        <w:t>一体化装置技术参数</w:t>
      </w:r>
      <w:bookmarkEnd w:id="170"/>
      <w:bookmarkEnd w:id="171"/>
      <w:bookmarkEnd w:id="172"/>
    </w:p>
    <w:p>
      <w:pPr>
        <w:pStyle w:val="11"/>
        <w:pageBreakBefore w:val="0"/>
        <w:kinsoku/>
        <w:overflowPunct/>
        <w:topLinePunct w:val="0"/>
        <w:bidi w:val="0"/>
        <w:spacing w:line="360" w:lineRule="auto"/>
        <w:ind w:firstLine="420"/>
        <w:jc w:val="center"/>
        <w:rPr>
          <w:rFonts w:eastAsia="宋体"/>
        </w:rPr>
      </w:pPr>
      <w:r>
        <w:t>表3</w:t>
      </w:r>
      <w:r>
        <w:rPr>
          <w:rFonts w:hint="eastAsia"/>
        </w:rPr>
        <w:t>-</w:t>
      </w:r>
      <w:r>
        <w:t xml:space="preserve">3 </w:t>
      </w:r>
      <w:r>
        <w:rPr>
          <w:rFonts w:hint="eastAsia"/>
        </w:rPr>
        <w:t>主要技术参数</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2601"/>
        <w:gridCol w:w="4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3"/>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
                <w:bCs/>
                <w:color w:val="000000"/>
                <w:kern w:val="0"/>
                <w:sz w:val="21"/>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外观信息</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颜色</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尺寸</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180mm*160mm*90mm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三防标准</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IP51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材质</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PC+玻纤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安装方式</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壁挂</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M4螺钉*3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导轨</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35mm宽标准U型导轨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电源</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种类</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三相四线</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支持任意两相上电工作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电压范围</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至少单相80VAC～400VAC</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尽量做到70VAC～450VAC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最大功耗</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主芯片</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品牌</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新唐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型号</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NUC972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主频</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ARM® ARM926EJ-S™，主频300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存储</w:t>
            </w:r>
          </w:p>
        </w:tc>
        <w:tc>
          <w:tcPr>
            <w:tcW w:w="1400" w:type="pct"/>
            <w:shd w:val="clear" w:color="auto" w:fill="auto"/>
            <w:noWrap/>
            <w:vAlign w:val="center"/>
          </w:tcPr>
          <w:p>
            <w:pPr>
              <w:pageBreakBefore w:val="0"/>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内存</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2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时钟</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芯片型号</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RX8025T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误差</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小于0.5秒每天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电池信息</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时钟电池</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1.2Ah，锂电池</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不可充电，不可拆卸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后备电池</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Last Gasp</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450mAh，镍氢电池</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可充电，可更换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操作系统</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操作系统</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载波</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协议类型</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宽带载波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载波方式</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三相四线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无线网络</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SIM卡类型</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标准sim卡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最大支持SIM卡数量</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网络类型</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2G/3G/4G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数据接口</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升级接口</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USB，在无线模块上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无线维护接口</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WIFI/蓝牙 选配，支持web维护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外部接口</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RS485</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3路，支持48块表</w:t>
            </w:r>
          </w:p>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波特率300bps～38400bps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M-BUS</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CAN</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天线</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以太网</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2路，支持web维护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4" w:type="pc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指示灯</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指示灯</w:t>
            </w:r>
          </w:p>
        </w:tc>
        <w:tc>
          <w:tcPr>
            <w:tcW w:w="2604" w:type="pct"/>
            <w:shd w:val="clear" w:color="auto" w:fill="auto"/>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5个，分别是工作灯、4G指示、载波指示和2路以太网</w:t>
            </w:r>
          </w:p>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无技术规范和标准，完全自己定义，指示灯均采用双色灯，除工作灯外均由应用控制。预计为：</w:t>
            </w:r>
          </w:p>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1、工作灯：硬件控制，上电绿灯，电池供电红灯。</w:t>
            </w:r>
          </w:p>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2、以太网、4G、载波灯：软件控制，功能正常亮绿灯，通信状态1Hz闪烁，功能异常亮红灯。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restar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安全保护</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设备取出检测</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端盖打开检测</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vMerge w:val="continue"/>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最大支持穿线铅封数量</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辅助功能</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工厂测试接口</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RS232，单排2.54mm间距插座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4" w:type="pct"/>
            <w:shd w:val="clear" w:color="auto" w:fill="auto"/>
            <w:noWrap/>
            <w:vAlign w:val="center"/>
          </w:tcPr>
          <w:p>
            <w:pPr>
              <w:pageBreakBefore w:val="0"/>
              <w:widowControl/>
              <w:kinsoku/>
              <w:overflowPunct/>
              <w:topLinePunct w:val="0"/>
              <w:bidi w:val="0"/>
              <w:spacing w:line="360" w:lineRule="auto"/>
              <w:jc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可靠性</w:t>
            </w:r>
          </w:p>
        </w:tc>
        <w:tc>
          <w:tcPr>
            <w:tcW w:w="1400"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MTBF</w:t>
            </w:r>
          </w:p>
        </w:tc>
        <w:tc>
          <w:tcPr>
            <w:tcW w:w="2604" w:type="pct"/>
            <w:shd w:val="clear" w:color="auto" w:fill="auto"/>
            <w:noWrap/>
            <w:vAlign w:val="center"/>
          </w:tcPr>
          <w:p>
            <w:pPr>
              <w:pageBreakBefore w:val="0"/>
              <w:widowControl/>
              <w:kinsoku/>
              <w:overflowPunct/>
              <w:topLinePunct w:val="0"/>
              <w:bidi w:val="0"/>
              <w:spacing w:line="360" w:lineRule="auto"/>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不低于7.6E4h</w:t>
            </w:r>
          </w:p>
        </w:tc>
      </w:tr>
    </w:tbl>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asciiTheme="minorEastAsia" w:hAnsiTheme="minorEastAsia" w:eastAsiaTheme="minorEastAsia" w:cstheme="minorEastAsia"/>
          <w:sz w:val="24"/>
        </w:rPr>
        <w:br w:type="page"/>
      </w:r>
    </w:p>
    <w:p>
      <w:pPr>
        <w:pStyle w:val="2"/>
        <w:pageBreakBefore w:val="0"/>
        <w:kinsoku/>
        <w:overflowPunct/>
        <w:topLinePunct w:val="0"/>
        <w:bidi w:val="0"/>
        <w:spacing w:line="360" w:lineRule="auto"/>
        <w:ind w:left="432" w:leftChars="0" w:hanging="432" w:firstLineChars="0"/>
        <w:jc w:val="center"/>
        <w:rPr>
          <w:rFonts w:hint="eastAsia"/>
          <w:lang w:val="en-US" w:eastAsia="zh-CN"/>
        </w:rPr>
      </w:pPr>
      <w:bookmarkStart w:id="173" w:name="_Toc30640"/>
      <w:bookmarkStart w:id="174" w:name="_Toc253"/>
      <w:bookmarkStart w:id="175" w:name="_Toc24933"/>
      <w:r>
        <w:rPr>
          <w:rFonts w:hint="eastAsia"/>
          <w:lang w:val="en-US" w:eastAsia="zh-CN"/>
        </w:rPr>
        <w:t>合作项目简介</w:t>
      </w:r>
      <w:bookmarkEnd w:id="173"/>
      <w:bookmarkEnd w:id="174"/>
      <w:bookmarkEnd w:id="175"/>
    </w:p>
    <w:p>
      <w:pPr>
        <w:pStyle w:val="3"/>
        <w:pageBreakBefore w:val="0"/>
        <w:kinsoku/>
        <w:overflowPunct/>
        <w:topLinePunct w:val="0"/>
        <w:bidi w:val="0"/>
        <w:spacing w:line="360" w:lineRule="auto"/>
        <w:ind w:left="575" w:leftChars="0" w:hanging="575" w:firstLineChars="0"/>
        <w:rPr>
          <w:rFonts w:hint="eastAsia"/>
          <w:b/>
          <w:bCs w:val="0"/>
        </w:rPr>
      </w:pPr>
      <w:bookmarkStart w:id="176" w:name="_Toc12283"/>
      <w:bookmarkStart w:id="177" w:name="_Toc22801_WPSOffice_Level1"/>
      <w:bookmarkStart w:id="178" w:name="_Toc505602832"/>
      <w:r>
        <w:rPr>
          <w:rFonts w:hint="eastAsia"/>
          <w:b/>
          <w:bCs w:val="0"/>
          <w:lang w:val="en-US" w:eastAsia="zh-CN"/>
        </w:rPr>
        <w:t>宏陶陶瓷</w:t>
      </w:r>
      <w:bookmarkEnd w:id="176"/>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东宏陶陶瓷有限公司成立于1999年，是广东省佛山市一家专业生产、销售岩板、健康瓷砖、瓷质抛光砖、釉面砖、全抛釉陶瓷砖、仿古砖、广场砖和超市砖的现代化大型企业。公司参与10项国家标准和3项行业标准的制、修订，是“国家标准制定企业”。</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司拥有广东佛山、清远、广西藤县三大生产基地，五家生产工厂。引进意大利先进设备，采用国际领先的喷墨和辊筒印刷技术，产品各项企业内部控制技术指标均高于国家标准要求。先后通过ISO9001质量管理体系认证、ISO14001环境管理体系认证、ISO45001职业健康安全管理认证、能源管理体系认证、中国国家强制性产品认证（3C）、中国环境标志产品认证、广东优质产品认证等多项权威认证。</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宏陶陶瓷高度重视科技创新，被认定为“国家高新技术企业”、“广东省企业技术中心”、“广东省工程技术研究中心”，已有37项创新项目通过了科技成果鉴定，其中7项达到“国际领先水平”、20项达到“国际先进水平”；已获得发明专利50项、实用新型专利17项。宏陶陶瓷是一家以陶瓷生产加工为主的高能耗企业，以水电能源消耗为主，平均每月水电费超过100万，提高能源使用效率直接影响企业的经济效益。</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近年来陶瓷企业资源消耗、污染排放的问题日益显得突出，面临环保的要求，能源成本的压力越来越大。宏陶在节能减排、采用新技术方面做了不少工作，如变频技术、设备节能改造技术等，取得了很大的成绩。一些陶瓷企业认识到进一步通过对能源环节进行更有效管理，还能进一步提升企业的生产效益，节约生产成本，降低能源消耗，实现节能减排效益的最大化，陶瓷行业用能精细化转型势在必行。</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pageBreakBefore w:val="0"/>
              <w:kinsoku/>
              <w:overflowPunct/>
              <w:topLinePunct w:val="0"/>
              <w:bidi w:val="0"/>
              <w:spacing w:line="360" w:lineRule="auto"/>
              <w:rPr>
                <w:rFonts w:hint="eastAsia" w:eastAsia="宋体"/>
                <w:vertAlign w:val="baseline"/>
                <w:lang w:eastAsia="zh-CN"/>
              </w:rPr>
            </w:pPr>
            <w:r>
              <w:drawing>
                <wp:inline distT="0" distB="0" distL="114300" distR="114300">
                  <wp:extent cx="2401570" cy="4271010"/>
                  <wp:effectExtent l="0" t="0" r="11430" b="889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9"/>
                          <a:stretch>
                            <a:fillRect/>
                          </a:stretch>
                        </pic:blipFill>
                        <pic:spPr>
                          <a:xfrm>
                            <a:off x="0" y="0"/>
                            <a:ext cx="2401570" cy="4271010"/>
                          </a:xfrm>
                          <a:prstGeom prst="rect">
                            <a:avLst/>
                          </a:prstGeom>
                        </pic:spPr>
                      </pic:pic>
                    </a:graphicData>
                  </a:graphic>
                </wp:inline>
              </w:drawing>
            </w:r>
          </w:p>
        </w:tc>
        <w:tc>
          <w:tcPr>
            <w:tcW w:w="4644" w:type="dxa"/>
          </w:tcPr>
          <w:p>
            <w:pPr>
              <w:pageBreakBefore w:val="0"/>
              <w:kinsoku/>
              <w:overflowPunct/>
              <w:topLinePunct w:val="0"/>
              <w:bidi w:val="0"/>
              <w:spacing w:line="360" w:lineRule="auto"/>
              <w:rPr>
                <w:rFonts w:hint="eastAsia" w:eastAsia="宋体"/>
                <w:vertAlign w:val="baseline"/>
                <w:lang w:eastAsia="zh-CN"/>
              </w:rPr>
            </w:pPr>
            <w:r>
              <w:rPr>
                <w:rFonts w:hint="eastAsia" w:eastAsia="宋体"/>
                <w:lang w:eastAsia="zh-CN"/>
              </w:rPr>
              <w:drawing>
                <wp:inline distT="0" distB="0" distL="114300" distR="114300">
                  <wp:extent cx="5735320" cy="4301490"/>
                  <wp:effectExtent l="0" t="0" r="5080" b="3810"/>
                  <wp:docPr id="32" name="图片 32" descr="3b96b1799bc6819efdd96029c019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b96b1799bc6819efdd96029c01992f"/>
                          <pic:cNvPicPr>
                            <a:picLocks noChangeAspect="1"/>
                          </pic:cNvPicPr>
                        </pic:nvPicPr>
                        <pic:blipFill>
                          <a:blip r:embed="rId30"/>
                          <a:stretch>
                            <a:fillRect/>
                          </a:stretch>
                        </pic:blipFill>
                        <pic:spPr>
                          <a:xfrm>
                            <a:off x="0" y="0"/>
                            <a:ext cx="5735320" cy="4301490"/>
                          </a:xfrm>
                          <a:prstGeom prst="rect">
                            <a:avLst/>
                          </a:prstGeom>
                        </pic:spPr>
                      </pic:pic>
                    </a:graphicData>
                  </a:graphic>
                </wp:inline>
              </w:drawing>
            </w:r>
          </w:p>
        </w:tc>
      </w:tr>
    </w:tbl>
    <w:p>
      <w:pPr>
        <w:pStyle w:val="11"/>
        <w:pageBreakBefore w:val="0"/>
        <w:kinsoku/>
        <w:overflowPunct/>
        <w:topLinePunct w:val="0"/>
        <w:bidi w:val="0"/>
        <w:spacing w:line="360" w:lineRule="auto"/>
        <w:ind w:firstLine="420"/>
        <w:jc w:val="center"/>
        <w:rPr>
          <w:rFonts w:hint="eastAsia"/>
          <w:lang w:val="en-US" w:eastAsia="zh-CN"/>
        </w:rPr>
      </w:pPr>
      <w:r>
        <w:t>图4</w:t>
      </w:r>
      <w:r>
        <w:rPr>
          <w:rFonts w:hint="eastAsia"/>
        </w:rPr>
        <w:t>-</w:t>
      </w:r>
      <w:r>
        <w:t xml:space="preserve">1  </w:t>
      </w:r>
      <w:r>
        <w:rPr>
          <w:rFonts w:hint="eastAsia"/>
          <w:lang w:val="en-US" w:eastAsia="zh-CN"/>
        </w:rPr>
        <w:t>宏陶陶瓷现场实拍图（宏宇、宏海均为宏陶陶瓷子公司，且均为我司客户）</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pageBreakBefore w:val="0"/>
              <w:kinsoku/>
              <w:overflowPunct/>
              <w:topLinePunct w:val="0"/>
              <w:bidi w:val="0"/>
              <w:spacing w:line="360" w:lineRule="auto"/>
              <w:rPr>
                <w:vertAlign w:val="baseline"/>
              </w:rPr>
            </w:pPr>
            <w:r>
              <w:drawing>
                <wp:inline distT="0" distB="0" distL="114300" distR="114300">
                  <wp:extent cx="2705100" cy="2035175"/>
                  <wp:effectExtent l="0" t="0" r="0"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1"/>
                          <a:stretch>
                            <a:fillRect/>
                          </a:stretch>
                        </pic:blipFill>
                        <pic:spPr>
                          <a:xfrm>
                            <a:off x="0" y="0"/>
                            <a:ext cx="2705100" cy="2035175"/>
                          </a:xfrm>
                          <a:prstGeom prst="rect">
                            <a:avLst/>
                          </a:prstGeom>
                          <a:noFill/>
                          <a:ln>
                            <a:noFill/>
                          </a:ln>
                        </pic:spPr>
                      </pic:pic>
                    </a:graphicData>
                  </a:graphic>
                </wp:inline>
              </w:drawing>
            </w:r>
          </w:p>
        </w:tc>
        <w:tc>
          <w:tcPr>
            <w:tcW w:w="4644" w:type="dxa"/>
            <w:vMerge w:val="restart"/>
          </w:tcPr>
          <w:p>
            <w:pPr>
              <w:pageBreakBefore w:val="0"/>
              <w:kinsoku/>
              <w:overflowPunct/>
              <w:topLinePunct w:val="0"/>
              <w:bidi w:val="0"/>
              <w:spacing w:line="360" w:lineRule="auto"/>
              <w:rPr>
                <w:vertAlign w:val="baseline"/>
              </w:rPr>
            </w:pPr>
            <w:r>
              <w:rPr>
                <w:rFonts w:hint="eastAsia" w:eastAsia="宋体"/>
                <w:lang w:eastAsia="zh-CN"/>
              </w:rPr>
              <w:drawing>
                <wp:inline distT="0" distB="0" distL="114300" distR="114300">
                  <wp:extent cx="2407920" cy="4279265"/>
                  <wp:effectExtent l="0" t="0" r="5080" b="635"/>
                  <wp:docPr id="28" name="图片 28" descr="1b50c1a50d3f19a5ef3a7238e9df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50c1a50d3f19a5ef3a7238e9df864"/>
                          <pic:cNvPicPr>
                            <a:picLocks noChangeAspect="1"/>
                          </pic:cNvPicPr>
                        </pic:nvPicPr>
                        <pic:blipFill>
                          <a:blip r:embed="rId32"/>
                          <a:stretch>
                            <a:fillRect/>
                          </a:stretch>
                        </pic:blipFill>
                        <pic:spPr>
                          <a:xfrm>
                            <a:off x="0" y="0"/>
                            <a:ext cx="2407920" cy="4279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pageBreakBefore w:val="0"/>
              <w:kinsoku/>
              <w:overflowPunct/>
              <w:topLinePunct w:val="0"/>
              <w:bidi w:val="0"/>
              <w:spacing w:line="360" w:lineRule="auto"/>
              <w:rPr>
                <w:vertAlign w:val="baseline"/>
              </w:rPr>
            </w:pPr>
            <w:r>
              <w:rPr>
                <w:rFonts w:ascii="宋体" w:hAnsi="宋体" w:eastAsia="宋体" w:cs="宋体"/>
                <w:sz w:val="24"/>
                <w:szCs w:val="24"/>
              </w:rPr>
              <w:drawing>
                <wp:inline distT="0" distB="0" distL="114300" distR="114300">
                  <wp:extent cx="2630170" cy="1971675"/>
                  <wp:effectExtent l="0" t="0" r="11430" b="9525"/>
                  <wp:docPr id="3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6"/>
                          <pic:cNvPicPr>
                            <a:picLocks noChangeAspect="1"/>
                          </pic:cNvPicPr>
                        </pic:nvPicPr>
                        <pic:blipFill>
                          <a:blip r:embed="rId33"/>
                          <a:stretch>
                            <a:fillRect/>
                          </a:stretch>
                        </pic:blipFill>
                        <pic:spPr>
                          <a:xfrm>
                            <a:off x="0" y="0"/>
                            <a:ext cx="2630170" cy="1971675"/>
                          </a:xfrm>
                          <a:prstGeom prst="rect">
                            <a:avLst/>
                          </a:prstGeom>
                          <a:noFill/>
                          <a:ln w="9525">
                            <a:noFill/>
                          </a:ln>
                        </pic:spPr>
                      </pic:pic>
                    </a:graphicData>
                  </a:graphic>
                </wp:inline>
              </w:drawing>
            </w:r>
          </w:p>
        </w:tc>
        <w:tc>
          <w:tcPr>
            <w:tcW w:w="4644" w:type="dxa"/>
            <w:vMerge w:val="continue"/>
          </w:tcPr>
          <w:p>
            <w:pPr>
              <w:pageBreakBefore w:val="0"/>
              <w:kinsoku/>
              <w:overflowPunct/>
              <w:topLinePunct w:val="0"/>
              <w:bidi w:val="0"/>
              <w:spacing w:line="360" w:lineRule="auto"/>
              <w:rPr>
                <w:vertAlign w:val="baseline"/>
              </w:rPr>
            </w:pPr>
          </w:p>
        </w:tc>
      </w:tr>
    </w:tbl>
    <w:p>
      <w:pPr>
        <w:pStyle w:val="11"/>
        <w:pageBreakBefore w:val="0"/>
        <w:kinsoku/>
        <w:overflowPunct/>
        <w:topLinePunct w:val="0"/>
        <w:bidi w:val="0"/>
        <w:spacing w:line="360" w:lineRule="auto"/>
        <w:ind w:leftChars="-95" w:right="-936" w:rightChars="-390" w:hanging="228" w:hangingChars="95"/>
        <w:jc w:val="center"/>
        <w:rPr>
          <w:rFonts w:hint="eastAsia" w:eastAsia="黑体"/>
          <w:lang w:eastAsia="zh-CN"/>
        </w:rPr>
      </w:pPr>
      <w:r>
        <w:rPr>
          <w:rFonts w:hint="eastAsia"/>
        </w:rPr>
        <w:t>图4-</w:t>
      </w:r>
      <w:r>
        <w:t xml:space="preserve">2  </w:t>
      </w:r>
      <w:r>
        <w:rPr>
          <w:rFonts w:hint="eastAsia"/>
        </w:rPr>
        <w:t>厂区</w:t>
      </w:r>
      <w:r>
        <w:rPr>
          <w:rFonts w:hint="eastAsia"/>
          <w:lang w:val="en-US" w:eastAsia="zh-CN"/>
        </w:rPr>
        <w:t>内部实拍</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79" w:name="_Toc21606"/>
      <w:bookmarkStart w:id="180" w:name="_Toc27947"/>
      <w:bookmarkStart w:id="181" w:name="_Toc6854"/>
      <w:r>
        <w:rPr>
          <w:rFonts w:hint="eastAsia"/>
          <w:lang w:val="en-US" w:eastAsia="zh-CN"/>
        </w:rPr>
        <w:t>现状分析</w:t>
      </w:r>
      <w:bookmarkEnd w:id="179"/>
      <w:bookmarkEnd w:id="180"/>
      <w:bookmarkEnd w:id="18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目前宏陶陶瓷广西藤县厂区三相表581台台，大口径水表18台，流量计26台，其中水煤气流量计8台，目前针对能源管理是派专人到表计安装点逐一进行抄读、统计、上报。</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存在诸多缺点：</w:t>
      </w:r>
    </w:p>
    <w:p>
      <w:pPr>
        <w:pageBreakBefore w:val="0"/>
        <w:numPr>
          <w:ilvl w:val="0"/>
          <w:numId w:val="25"/>
        </w:numPr>
        <w:kinsoku/>
        <w:overflowPunct/>
        <w:topLinePunct w:val="0"/>
        <w:bidi w:val="0"/>
        <w:spacing w:line="360" w:lineRule="auto"/>
        <w:ind w:left="126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手工操作效率低，抄表时间长；</w:t>
      </w:r>
    </w:p>
    <w:p>
      <w:pPr>
        <w:pageBreakBefore w:val="0"/>
        <w:numPr>
          <w:ilvl w:val="0"/>
          <w:numId w:val="25"/>
        </w:numPr>
        <w:kinsoku/>
        <w:overflowPunct/>
        <w:topLinePunct w:val="0"/>
        <w:bidi w:val="0"/>
        <w:spacing w:line="360" w:lineRule="auto"/>
        <w:ind w:left="126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存在时间差，手工采集的数据对能耗的精细化考核没有实际意义；</w:t>
      </w:r>
    </w:p>
    <w:p>
      <w:pPr>
        <w:pageBreakBefore w:val="0"/>
        <w:numPr>
          <w:ilvl w:val="0"/>
          <w:numId w:val="25"/>
        </w:numPr>
        <w:kinsoku/>
        <w:overflowPunct/>
        <w:topLinePunct w:val="0"/>
        <w:bidi w:val="0"/>
        <w:spacing w:line="360" w:lineRule="auto"/>
        <w:ind w:left="126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一</w:t>
      </w:r>
      <w:r>
        <w:rPr>
          <w:rFonts w:hint="eastAsia" w:asciiTheme="minorEastAsia" w:hAnsiTheme="minorEastAsia" w:eastAsiaTheme="minorEastAsia" w:cstheme="minorEastAsia"/>
          <w:sz w:val="24"/>
          <w:szCs w:val="24"/>
          <w:lang w:val="en-US" w:eastAsia="zh-CN"/>
        </w:rPr>
        <w:t>些仪表因为安装位置，抄表还存在一定的安全隐患。</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印染厂每⽉只统计总⽤能耗⽤量，细分到车间和⼯段无法实现，⽽且⽆法做到有效监控。特别是⽤⽔用电作为印染企业重要考核指标，未能全部监控到重点⽤⽔用电设备的使⽤情况，不利于分析异常和采取对策。</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82" w:name="_Toc27927"/>
      <w:bookmarkStart w:id="183" w:name="_Toc25924"/>
      <w:bookmarkStart w:id="184" w:name="_Toc22930"/>
      <w:r>
        <w:rPr>
          <w:rFonts w:hint="eastAsia"/>
          <w:lang w:val="en-US" w:eastAsia="zh-CN"/>
        </w:rPr>
        <w:t>需求分析</w:t>
      </w:r>
      <w:bookmarkEnd w:id="182"/>
      <w:bookmarkEnd w:id="183"/>
      <w:bookmarkEnd w:id="184"/>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宏陶陶瓷设备和生产流水线，具备现代化制造生产能力的印染企业。企业生产主要有电能、水能、水煤浆、蒸汽、天然气等能耗构成，在生产过程中能耗成本占据全部生产成本相当比例，为了降低陶瓷产品生产成本，提高企业的经济效益，要求能耗监测系统需要实现如下经济效益目的：</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每天分时段自动换班，自动抄表，实现有效的能耗成本核算。</w:t>
      </w:r>
    </w:p>
    <w:p>
      <w:pPr>
        <w:pageBreakBefore w:val="0"/>
        <w:numPr>
          <w:ilvl w:val="0"/>
          <w:numId w:val="26"/>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能</w:t>
      </w:r>
      <w:r>
        <w:rPr>
          <w:rFonts w:hint="eastAsia" w:asciiTheme="minorEastAsia" w:hAnsiTheme="minorEastAsia" w:eastAsiaTheme="minorEastAsia" w:cstheme="minorEastAsia"/>
          <w:sz w:val="24"/>
          <w:szCs w:val="24"/>
          <w:lang w:val="en-US" w:eastAsia="zh-CN"/>
        </w:rPr>
        <w:t>通过总表与分表的合计误差发现能耗的“跑冒滴漏，为生产建立了一套能耗诊断体系。</w:t>
      </w:r>
    </w:p>
    <w:p>
      <w:pPr>
        <w:pageBreakBefore w:val="0"/>
        <w:numPr>
          <w:ilvl w:val="0"/>
          <w:numId w:val="26"/>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响</w:t>
      </w:r>
      <w:r>
        <w:rPr>
          <w:rFonts w:hint="eastAsia" w:asciiTheme="minorEastAsia" w:hAnsiTheme="minorEastAsia" w:eastAsiaTheme="minorEastAsia" w:cstheme="minorEastAsia"/>
          <w:sz w:val="24"/>
          <w:szCs w:val="24"/>
          <w:lang w:val="en-US" w:eastAsia="zh-CN"/>
        </w:rPr>
        <w:t>应政府推广‘阶梯式电价’，对工厂电能实行‘尖峰谷’时段精确统计，合理利用低谷电力。</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及</w:t>
      </w:r>
      <w:r>
        <w:rPr>
          <w:rFonts w:hint="eastAsia" w:asciiTheme="minorEastAsia" w:hAnsiTheme="minorEastAsia" w:eastAsiaTheme="minorEastAsia" w:cstheme="minorEastAsia"/>
          <w:sz w:val="24"/>
          <w:szCs w:val="24"/>
          <w:lang w:val="en-US" w:eastAsia="zh-CN"/>
        </w:rPr>
        <w:t>时发现不同布种、工序、机台能耗偏高情况，找出工艺薄弱环境并进行优化，结合ERP实现每笔订单或不同布种能源消耗分析，以利于企业经营分析。</w:t>
      </w:r>
    </w:p>
    <w:p>
      <w:pPr>
        <w:pageBreakBefore w:val="0"/>
        <w:numPr>
          <w:ilvl w:val="0"/>
          <w:numId w:val="26"/>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还</w:t>
      </w:r>
      <w:r>
        <w:rPr>
          <w:rFonts w:hint="eastAsia" w:asciiTheme="minorEastAsia" w:hAnsiTheme="minorEastAsia" w:eastAsiaTheme="minorEastAsia" w:cstheme="minorEastAsia"/>
          <w:sz w:val="24"/>
          <w:szCs w:val="24"/>
          <w:lang w:val="en-US" w:eastAsia="zh-CN"/>
        </w:rPr>
        <w:t>可以与ERP软件接口，为班组建立一套单位能耗考核体系，通过每道工序能耗成本排名、每个班组能耗削减率排名，实现员工从被动节能到主动节能的思想转变。</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及</w:t>
      </w:r>
      <w:r>
        <w:rPr>
          <w:rFonts w:hint="eastAsia" w:asciiTheme="minorEastAsia" w:hAnsiTheme="minorEastAsia" w:eastAsiaTheme="minorEastAsia" w:cstheme="minorEastAsia"/>
          <w:sz w:val="24"/>
          <w:szCs w:val="24"/>
          <w:lang w:val="en-US" w:eastAsia="zh-CN"/>
        </w:rPr>
        <w:t>时采集整个厂区多级能源计量系统的实时数据，显示能源的分布和流向，对能耗数据越限、异常等故障实时报警。</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能显示能源数据的趋势和走向，以及各能源数据之间的关系和对比。</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具有灵活的报表统计、能源需量预测功能。</w:t>
      </w:r>
    </w:p>
    <w:p>
      <w:pPr>
        <w:pageBreakBefore w:val="0"/>
        <w:numPr>
          <w:ilvl w:val="0"/>
          <w:numId w:val="26"/>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结</w:t>
      </w:r>
      <w:r>
        <w:rPr>
          <w:rFonts w:hint="eastAsia" w:asciiTheme="minorEastAsia" w:hAnsiTheme="minorEastAsia" w:eastAsiaTheme="minorEastAsia" w:cstheme="minorEastAsia"/>
          <w:sz w:val="24"/>
          <w:szCs w:val="24"/>
          <w:lang w:val="en-US" w:eastAsia="zh-CN"/>
        </w:rPr>
        <w:t>合ERP产量，可实现能源成本考核功能，实现能耗成本细化到每道工序上，把每道工序的能耗成本细化每个和操作员工上，提高全员能源意识。</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85" w:name="_Toc2152"/>
      <w:bookmarkStart w:id="186" w:name="_Toc18938"/>
      <w:bookmarkStart w:id="187" w:name="_Toc4124"/>
      <w:r>
        <w:rPr>
          <w:rFonts w:hint="eastAsia"/>
          <w:lang w:val="en-US" w:eastAsia="zh-CN"/>
        </w:rPr>
        <w:t>改造方案</w:t>
      </w:r>
      <w:bookmarkEnd w:id="185"/>
      <w:bookmarkEnd w:id="186"/>
      <w:bookmarkEnd w:id="187"/>
    </w:p>
    <w:p>
      <w:pPr>
        <w:pageBreakBefore w:val="0"/>
        <w:kinsoku/>
        <w:overflowPunct/>
        <w:topLinePunct w:val="0"/>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本</w:t>
      </w:r>
      <w:r>
        <w:rPr>
          <w:rFonts w:hint="eastAsia" w:asciiTheme="minorEastAsia" w:hAnsiTheme="minorEastAsia" w:eastAsiaTheme="minorEastAsia" w:cstheme="minorEastAsia"/>
          <w:sz w:val="24"/>
          <w:szCs w:val="24"/>
          <w:lang w:val="en-US" w:eastAsia="zh-CN"/>
        </w:rPr>
        <w:t>次改造主要针对原有水电表进行更换，通过加装一体化采集装置对更换之后的智能水电表进行数据采集、监测和控制。</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电表改造：更换已有的</w:t>
      </w:r>
      <w:r>
        <w:rPr>
          <w:rFonts w:hint="eastAsia" w:asciiTheme="minorEastAsia" w:hAnsiTheme="minorEastAsia" w:eastAsiaTheme="minorEastAsia" w:cstheme="minorEastAsia"/>
          <w:sz w:val="24"/>
          <w:lang w:val="en-US" w:eastAsia="zh-CN"/>
        </w:rPr>
        <w:t>581</w:t>
      </w:r>
      <w:r>
        <w:rPr>
          <w:rFonts w:hint="eastAsia" w:asciiTheme="minorEastAsia" w:hAnsiTheme="minorEastAsia" w:eastAsiaTheme="minorEastAsia" w:cstheme="minorEastAsia"/>
          <w:sz w:val="24"/>
        </w:rPr>
        <w:t>台机械电表为电子式智能电表；</w:t>
      </w:r>
    </w:p>
    <w:p>
      <w:pPr>
        <w:pageBreakBefore w:val="0"/>
        <w:numPr>
          <w:ilvl w:val="0"/>
          <w:numId w:val="26"/>
        </w:numPr>
        <w:kinsoku/>
        <w:overflowPunct/>
        <w:topLinePunct w:val="0"/>
        <w:bidi w:val="0"/>
        <w:spacing w:line="360" w:lineRule="auto"/>
        <w:ind w:left="84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水</w:t>
      </w:r>
      <w:r>
        <w:rPr>
          <w:rFonts w:hint="eastAsia" w:asciiTheme="minorEastAsia" w:hAnsiTheme="minorEastAsia" w:eastAsiaTheme="minorEastAsia" w:cstheme="minorEastAsia"/>
          <w:sz w:val="24"/>
          <w:szCs w:val="24"/>
          <w:lang w:val="en-US" w:eastAsia="zh-CN"/>
        </w:rPr>
        <w:t>表改造：由于只有一条供水管道，将宏陶陶瓷的总表更换为带远程通信的电子式大口径水表，口径为DN150；</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水煤浆流量计更换为支持远485接线具备modbus协议的天信流量计</w:t>
      </w:r>
      <w:r>
        <w:rPr>
          <w:rFonts w:hint="eastAsia" w:asciiTheme="minorEastAsia" w:hAnsiTheme="minorEastAsia" w:eastAsiaTheme="minorEastAsia" w:cstheme="minorEastAsia"/>
          <w:sz w:val="24"/>
        </w:rPr>
        <w:t>；</w:t>
      </w:r>
    </w:p>
    <w:p>
      <w:pPr>
        <w:pageBreakBefore w:val="0"/>
        <w:numPr>
          <w:ilvl w:val="0"/>
          <w:numId w:val="26"/>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将水电气等设备接入能耗管理系统，进行数据远程抄读、预警及数据分析等。</w:t>
      </w:r>
    </w:p>
    <w:p>
      <w:pPr>
        <w:pStyle w:val="3"/>
        <w:pageBreakBefore w:val="0"/>
        <w:kinsoku/>
        <w:overflowPunct/>
        <w:topLinePunct w:val="0"/>
        <w:bidi w:val="0"/>
        <w:spacing w:line="360" w:lineRule="auto"/>
        <w:ind w:left="575" w:leftChars="0" w:hanging="575" w:firstLineChars="0"/>
        <w:rPr>
          <w:rFonts w:hint="eastAsia"/>
          <w:b/>
          <w:bCs w:val="0"/>
        </w:rPr>
      </w:pPr>
      <w:bookmarkStart w:id="188" w:name="_Toc13166"/>
      <w:r>
        <w:rPr>
          <w:rFonts w:hint="eastAsia"/>
          <w:b/>
          <w:bCs w:val="0"/>
          <w:lang w:val="en-US" w:eastAsia="zh-CN"/>
        </w:rPr>
        <w:t>范各庄煤矿</w:t>
      </w:r>
      <w:bookmarkEnd w:id="188"/>
    </w:p>
    <w:p>
      <w:pPr>
        <w:pageBreakBefore w:val="0"/>
        <w:kinsoku/>
        <w:overflowPunct/>
        <w:topLinePunct w:val="0"/>
        <w:bidi w:val="0"/>
        <w:spacing w:line="360" w:lineRule="auto"/>
      </w:pPr>
      <w:r>
        <w:rPr>
          <w:rFonts w:ascii="宋体" w:hAnsi="宋体" w:eastAsia="宋体" w:cs="宋体"/>
          <w:sz w:val="24"/>
          <w:szCs w:val="24"/>
        </w:rPr>
        <w:drawing>
          <wp:inline distT="0" distB="0" distL="114300" distR="114300">
            <wp:extent cx="5415280" cy="4060190"/>
            <wp:effectExtent l="0" t="0" r="7620" b="3810"/>
            <wp:docPr id="2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56"/>
                    <pic:cNvPicPr>
                      <a:picLocks noChangeAspect="1"/>
                    </pic:cNvPicPr>
                  </pic:nvPicPr>
                  <pic:blipFill>
                    <a:blip r:embed="rId34"/>
                    <a:stretch>
                      <a:fillRect/>
                    </a:stretch>
                  </pic:blipFill>
                  <pic:spPr>
                    <a:xfrm>
                      <a:off x="0" y="0"/>
                      <a:ext cx="5415280" cy="4060190"/>
                    </a:xfrm>
                    <a:prstGeom prst="rect">
                      <a:avLst/>
                    </a:prstGeom>
                    <a:noFill/>
                    <a:ln w="9525">
                      <a:noFill/>
                    </a:ln>
                  </pic:spPr>
                </pic:pic>
              </a:graphicData>
            </a:graphic>
          </wp:inline>
        </w:drawing>
      </w:r>
    </w:p>
    <w:p>
      <w:pPr>
        <w:pageBreakBefore w:val="0"/>
        <w:kinsoku/>
        <w:overflowPunct/>
        <w:topLinePunct w:val="0"/>
        <w:bidi w:val="0"/>
        <w:spacing w:line="360" w:lineRule="auto"/>
        <w:ind w:right="-456" w:rightChars="-190"/>
        <w:rPr>
          <w:rFonts w:asciiTheme="minorEastAsia" w:hAnsiTheme="minorEastAsia" w:eastAsiaTheme="minorEastAsia" w:cstheme="minorEastAsia"/>
          <w:sz w:val="24"/>
        </w:rPr>
      </w:pPr>
      <w:r>
        <w:drawing>
          <wp:inline distT="0" distB="0" distL="114300" distR="114300">
            <wp:extent cx="2829560" cy="1698625"/>
            <wp:effectExtent l="0" t="0" r="2540"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5"/>
                    <a:stretch>
                      <a:fillRect/>
                    </a:stretch>
                  </pic:blipFill>
                  <pic:spPr>
                    <a:xfrm>
                      <a:off x="0" y="0"/>
                      <a:ext cx="2829560" cy="1698625"/>
                    </a:xfrm>
                    <a:prstGeom prst="rect">
                      <a:avLst/>
                    </a:prstGeom>
                    <a:noFill/>
                    <a:ln>
                      <a:noFill/>
                    </a:ln>
                  </pic:spPr>
                </pic:pic>
              </a:graphicData>
            </a:graphic>
          </wp:inline>
        </w:drawing>
      </w:r>
      <w:r>
        <w:drawing>
          <wp:inline distT="0" distB="0" distL="114300" distR="114300">
            <wp:extent cx="2660650" cy="1659890"/>
            <wp:effectExtent l="0" t="0" r="6350" b="381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6"/>
                    <a:stretch>
                      <a:fillRect/>
                    </a:stretch>
                  </pic:blipFill>
                  <pic:spPr>
                    <a:xfrm>
                      <a:off x="0" y="0"/>
                      <a:ext cx="2660650" cy="1659890"/>
                    </a:xfrm>
                    <a:prstGeom prst="rect">
                      <a:avLst/>
                    </a:prstGeom>
                    <a:noFill/>
                    <a:ln>
                      <a:noFill/>
                    </a:ln>
                  </pic:spPr>
                </pic:pic>
              </a:graphicData>
            </a:graphic>
          </wp:inline>
        </w:drawing>
      </w:r>
    </w:p>
    <w:p>
      <w:pPr>
        <w:pStyle w:val="11"/>
        <w:pageBreakBefore w:val="0"/>
        <w:kinsoku/>
        <w:overflowPunct/>
        <w:topLinePunct w:val="0"/>
        <w:bidi w:val="0"/>
        <w:spacing w:line="360" w:lineRule="auto"/>
        <w:ind w:right="-456" w:rightChars="-190" w:firstLine="0" w:firstLineChars="0"/>
        <w:jc w:val="center"/>
        <w:rPr>
          <w:rFonts w:hint="default" w:eastAsia="黑体" w:asciiTheme="minorEastAsia" w:hAnsiTheme="minorEastAsia" w:cstheme="minorEastAsia"/>
          <w:sz w:val="24"/>
          <w:lang w:val="en-US" w:eastAsia="zh-CN"/>
        </w:rPr>
      </w:pPr>
      <w:r>
        <w:t>图4</w:t>
      </w:r>
      <w:r>
        <w:rPr>
          <w:rFonts w:hint="eastAsia"/>
        </w:rPr>
        <w:t>-</w:t>
      </w:r>
      <w:r>
        <w:t xml:space="preserve">3  </w:t>
      </w:r>
      <w:r>
        <w:rPr>
          <w:rFonts w:hint="eastAsia"/>
        </w:rPr>
        <w:t>厂区</w:t>
      </w:r>
      <w:r>
        <w:rPr>
          <w:rFonts w:hint="eastAsia"/>
          <w:lang w:val="en-US" w:eastAsia="zh-CN"/>
        </w:rPr>
        <w:t>现场图</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滦精煤股份有限公司范各庄矿业分公司，于1964年10月21日建成投产，是我国第一座自行设计、建造的大型现代化矿井，原设计能力180万吨%2F年，经改扩建达到400万吨。1984年引进德国先进生产设备，建成年入洗能力400万吨，堪称当时“远东最大”现代化选煤厂。2001年7月26日，开滦精煤股份有限公司正式成立，范矿公司成为开滦精煤股份有限公司的成员单位。</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89" w:name="_Toc22460"/>
      <w:bookmarkStart w:id="190" w:name="_Toc26710"/>
      <w:bookmarkStart w:id="191" w:name="_Toc25894"/>
      <w:r>
        <w:rPr>
          <w:rFonts w:hint="eastAsia"/>
          <w:lang w:val="en-US" w:eastAsia="zh-CN"/>
        </w:rPr>
        <w:t>现状分析</w:t>
      </w:r>
      <w:bookmarkEnd w:id="189"/>
      <w:bookmarkEnd w:id="190"/>
      <w:bookmarkEnd w:id="191"/>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煤矿开采行业存在管理落后，处于经验式、粗放式的管理阶段，运用现代企业的管理模式来指导企业的管理，就必须不断的适应市场的竞争，要从过去的落后方式走出来，针对企业能源管理也需要通过现代化的计量通信技术，实现能源自动化、智慧化管理。</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范各庄煤矿用能以电力、煤、天然气、水为主，在配电房和生产车间都安装了数显监测仪表和机械电表，通过人工抄表的方式抄读用电量；企业外购水，主要为工业用水和自来水，安装机械水表作为计费表，天然气为燃气公司直管，安装有计费表，客户要求本次不做水和气的改造，仅做电表改造。</w:t>
      </w:r>
    </w:p>
    <w:p>
      <w:pPr>
        <w:keepNext w:val="0"/>
        <w:keepLines w:val="0"/>
        <w:pageBreakBefore w:val="0"/>
        <w:widowControl/>
        <w:shd w:val="clear" w:color="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textAlignment w:val="auto"/>
      </w:pPr>
      <w:r>
        <w:rPr>
          <w:rFonts w:hint="eastAsia" w:asciiTheme="minorEastAsia" w:hAnsiTheme="minorEastAsia" w:eastAsiaTheme="minorEastAsia" w:cstheme="minorEastAsia"/>
          <w:sz w:val="24"/>
          <w:szCs w:val="24"/>
          <w:lang w:val="en-US" w:eastAsia="zh-CN"/>
        </w:rPr>
        <w:t>现代化企业在提高生产设备自动化的同时，进一步加强厂企管理的高效性和精细化程度。作为企业生产必不可少的用电系统，通过采用合理的配电方案，优化用电管理，以达到高效节能，降低企业运营成本，实现精细化管理之目的。</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92" w:name="_Toc27533"/>
      <w:bookmarkStart w:id="193" w:name="_Toc25835"/>
      <w:bookmarkStart w:id="194" w:name="_Toc22210"/>
      <w:r>
        <w:rPr>
          <w:rFonts w:hint="eastAsia"/>
          <w:lang w:val="en-US" w:eastAsia="zh-CN"/>
        </w:rPr>
        <w:t>需求分析</w:t>
      </w:r>
      <w:bookmarkEnd w:id="192"/>
      <w:bookmarkEnd w:id="193"/>
      <w:bookmarkEnd w:id="194"/>
    </w:p>
    <w:p>
      <w:pPr>
        <w:pageBreakBefore w:val="0"/>
        <w:numPr>
          <w:ilvl w:val="0"/>
          <w:numId w:val="27"/>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实现用能数据自动采集；</w:t>
      </w:r>
    </w:p>
    <w:p>
      <w:pPr>
        <w:pageBreakBefore w:val="0"/>
        <w:numPr>
          <w:ilvl w:val="0"/>
          <w:numId w:val="27"/>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形成用能数据报表自动统计功能；</w:t>
      </w:r>
    </w:p>
    <w:p>
      <w:pPr>
        <w:pageBreakBefore w:val="0"/>
        <w:numPr>
          <w:ilvl w:val="0"/>
          <w:numId w:val="27"/>
        </w:numPr>
        <w:kinsoku/>
        <w:overflowPunct/>
        <w:topLinePunct w:val="0"/>
        <w:bidi w:val="0"/>
        <w:spacing w:line="360" w:lineRule="auto"/>
        <w:ind w:left="84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了解企业能耗情况，挖掘节能潜力，提高用能效率，降低企业用能成本。</w:t>
      </w:r>
    </w:p>
    <w:p>
      <w:pPr>
        <w:pStyle w:val="4"/>
        <w:pageBreakBefore w:val="0"/>
        <w:kinsoku/>
        <w:overflowPunct/>
        <w:topLinePunct w:val="0"/>
        <w:bidi w:val="0"/>
        <w:spacing w:line="360" w:lineRule="auto"/>
        <w:ind w:left="720" w:leftChars="0" w:hanging="720" w:firstLineChars="0"/>
        <w:rPr>
          <w:rFonts w:hint="eastAsia"/>
          <w:lang w:val="en-US" w:eastAsia="zh-CN"/>
        </w:rPr>
      </w:pPr>
      <w:bookmarkStart w:id="195" w:name="_Toc24304"/>
      <w:bookmarkStart w:id="196" w:name="_Toc16517"/>
      <w:bookmarkStart w:id="197" w:name="_Toc11279"/>
      <w:r>
        <w:rPr>
          <w:rFonts w:hint="eastAsia"/>
          <w:lang w:val="en-US" w:eastAsia="zh-CN"/>
        </w:rPr>
        <w:t>改造方案</w:t>
      </w:r>
      <w:bookmarkEnd w:id="195"/>
      <w:bookmarkEnd w:id="196"/>
      <w:bookmarkEnd w:id="197"/>
    </w:p>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lang w:val="en-US" w:eastAsia="zh-CN"/>
        </w:rPr>
      </w:pPr>
      <w:r>
        <w:rPr>
          <w:rFonts w:asciiTheme="minorEastAsia" w:hAnsiTheme="minorEastAsia" w:eastAsiaTheme="minorEastAsia" w:cstheme="minorEastAsia"/>
          <w:sz w:val="24"/>
        </w:rPr>
        <w:t>电力：</w:t>
      </w:r>
      <w:r>
        <w:rPr>
          <w:rFonts w:hint="eastAsia" w:asciiTheme="minorEastAsia" w:hAnsiTheme="minorEastAsia" w:eastAsiaTheme="minorEastAsia" w:cstheme="minorEastAsia"/>
          <w:sz w:val="24"/>
        </w:rPr>
        <w:t>保留配电室</w:t>
      </w:r>
      <w:r>
        <w:rPr>
          <w:rFonts w:hint="eastAsia" w:asciiTheme="minorEastAsia" w:hAnsiTheme="minorEastAsia" w:eastAsiaTheme="minorEastAsia" w:cstheme="minorEastAsia"/>
          <w:sz w:val="24"/>
          <w:lang w:val="en-US" w:eastAsia="zh-CN"/>
        </w:rPr>
        <w:t>30</w:t>
      </w:r>
      <w:r>
        <w:rPr>
          <w:rFonts w:hint="eastAsia" w:asciiTheme="minorEastAsia" w:hAnsiTheme="minorEastAsia" w:eastAsiaTheme="minorEastAsia" w:cstheme="minorEastAsia"/>
          <w:sz w:val="24"/>
        </w:rPr>
        <w:t>只</w:t>
      </w:r>
      <w:r>
        <w:rPr>
          <w:rFonts w:hint="eastAsia" w:asciiTheme="minorEastAsia" w:hAnsiTheme="minorEastAsia" w:eastAsiaTheme="minorEastAsia" w:cstheme="minorEastAsia"/>
          <w:sz w:val="24"/>
          <w:lang w:val="en-US" w:eastAsia="zh-CN"/>
        </w:rPr>
        <w:t>智能表</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更换263只机械表为智能表。</w:t>
      </w:r>
    </w:p>
    <w:p>
      <w:pPr>
        <w:pageBreakBefore w:val="0"/>
        <w:kinsoku/>
        <w:overflowPunct/>
        <w:topLinePunct w:val="0"/>
        <w:bidi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一体化采集装置：加装1台一体化采集装置，安装在配电室。</w:t>
      </w:r>
    </w:p>
    <w:bookmarkEnd w:id="177"/>
    <w:bookmarkEnd w:id="178"/>
    <w:p>
      <w:pPr>
        <w:pageBreakBefore w:val="0"/>
        <w:kinsoku/>
        <w:overflowPunct/>
        <w:topLinePunct w:val="0"/>
        <w:bidi w:val="0"/>
        <w:spacing w:line="360" w:lineRule="auto"/>
        <w:ind w:firstLine="480" w:firstLineChars="200"/>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基于客户现状及客户需求，定制能耗分析管理软件。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p>
    <w:sectPr>
      <w:footerReference r:id="rId6" w:type="default"/>
      <w:pgSz w:w="11906" w:h="16838"/>
      <w:pgMar w:top="1304" w:right="1417" w:bottom="1304" w:left="1417" w:header="680" w:footer="0"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中圆">
    <w:altName w:val="黑体"/>
    <w:panose1 w:val="00000000000000000000"/>
    <w:charset w:val="86"/>
    <w:family w:val="auto"/>
    <w:pitch w:val="default"/>
    <w:sig w:usb0="00000000" w:usb1="00000000" w:usb2="00000010" w:usb3="00000000" w:csb0="00040000" w:csb1="00000000"/>
  </w:font>
  <w:font w:name="思源黑体 CN Normal">
    <w:altName w:val="黑体"/>
    <w:panose1 w:val="020B04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posOffset>5475605</wp:posOffset>
              </wp:positionH>
              <wp:positionV relativeFrom="page">
                <wp:posOffset>9860915</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1.15pt;margin-top:776.45pt;height:144pt;width:144pt;mso-position-horizontal-relative:margin;mso-position-vertical-relative:page;mso-wrap-style:none;z-index:251661312;mso-width-relative:page;mso-height-relative:page;" filled="f" stroked="f" coordsize="21600,21600" o:gfxdata="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I1HKHaAAAADgEAAA8AAAAAAAAAAQAgAAAAIgAAAGRycy9kb3ducmV2&#10;LnhtbFBLAQIUABQAAAAIAIdO4kAjmoLjMwIAAGMEAAAOAAAAAAAAAAEAIAAAACkBAABkcnMvZTJv&#10;RG9jLnhtbFBLBQYAAAAABgAGAFkBAADOBQAAAAA=&#10;">
              <v:fill on="f" focussize="0,0"/>
              <v:stroke on="f" weight="0.5pt"/>
              <v:imagedata o:title=""/>
              <o:lock v:ext="edit" aspectratio="f"/>
              <v:textbox inset="0mm,0mm,0mm,0mm" style="mso-fit-shape-to-text:t;">
                <w:txbxContent>
                  <w:p>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微软雅黑"/>
        <w:lang w:eastAsia="zh-CN"/>
      </w:rPr>
    </w:pPr>
    <w:r>
      <w:rPr>
        <w:rFonts w:hint="eastAsia" w:eastAsia="微软雅黑"/>
        <w:lang w:eastAsia="zh-CN"/>
      </w:rPr>
      <w:drawing>
        <wp:anchor distT="0" distB="0" distL="114300" distR="114300" simplePos="0" relativeHeight="251663360" behindDoc="1" locked="0" layoutInCell="1" allowOverlap="1">
          <wp:simplePos x="0" y="0"/>
          <wp:positionH relativeFrom="column">
            <wp:posOffset>13601700</wp:posOffset>
          </wp:positionH>
          <wp:positionV relativeFrom="paragraph">
            <wp:posOffset>-533400</wp:posOffset>
          </wp:positionV>
          <wp:extent cx="7560310" cy="10204450"/>
          <wp:effectExtent l="0" t="0" r="2540" b="6350"/>
          <wp:wrapNone/>
          <wp:docPr id="16" name="图片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1"/>
                  <pic:cNvPicPr>
                    <a:picLocks noChangeAspect="1"/>
                  </pic:cNvPicPr>
                </pic:nvPicPr>
                <pic:blipFill>
                  <a:blip r:embed="rId1"/>
                  <a:stretch>
                    <a:fillRect/>
                  </a:stretch>
                </pic:blipFill>
                <pic:spPr>
                  <a:xfrm>
                    <a:off x="0" y="0"/>
                    <a:ext cx="7560310" cy="10204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DC51A"/>
    <w:multiLevelType w:val="singleLevel"/>
    <w:tmpl w:val="82DDC51A"/>
    <w:lvl w:ilvl="0" w:tentative="0">
      <w:start w:val="1"/>
      <w:numFmt w:val="bullet"/>
      <w:lvlText w:val=""/>
      <w:lvlJc w:val="left"/>
      <w:pPr>
        <w:ind w:left="420" w:hanging="420"/>
      </w:pPr>
      <w:rPr>
        <w:rFonts w:hint="default" w:ascii="Wingdings" w:hAnsi="Wingdings"/>
      </w:rPr>
    </w:lvl>
  </w:abstractNum>
  <w:abstractNum w:abstractNumId="1">
    <w:nsid w:val="84734656"/>
    <w:multiLevelType w:val="singleLevel"/>
    <w:tmpl w:val="84734656"/>
    <w:lvl w:ilvl="0" w:tentative="0">
      <w:start w:val="1"/>
      <w:numFmt w:val="decimal"/>
      <w:lvlText w:val="%1)"/>
      <w:lvlJc w:val="left"/>
      <w:pPr>
        <w:ind w:left="425" w:hanging="425"/>
      </w:pPr>
      <w:rPr>
        <w:rFonts w:hint="default"/>
      </w:rPr>
    </w:lvl>
  </w:abstractNum>
  <w:abstractNum w:abstractNumId="2">
    <w:nsid w:val="857835B1"/>
    <w:multiLevelType w:val="singleLevel"/>
    <w:tmpl w:val="857835B1"/>
    <w:lvl w:ilvl="0" w:tentative="0">
      <w:start w:val="1"/>
      <w:numFmt w:val="decimal"/>
      <w:lvlText w:val="(%1)"/>
      <w:lvlJc w:val="left"/>
      <w:pPr>
        <w:ind w:left="425" w:hanging="425"/>
      </w:pPr>
      <w:rPr>
        <w:rFonts w:hint="default"/>
      </w:rPr>
    </w:lvl>
  </w:abstractNum>
  <w:abstractNum w:abstractNumId="3">
    <w:nsid w:val="8A77F5B6"/>
    <w:multiLevelType w:val="multilevel"/>
    <w:tmpl w:val="8A77F5B6"/>
    <w:lvl w:ilvl="0" w:tentative="0">
      <w:start w:val="1"/>
      <w:numFmt w:val="chineseCounting"/>
      <w:pStyle w:val="2"/>
      <w:suff w:val="nothing"/>
      <w:lvlText w:val="第%1章 "/>
      <w:lvlJc w:val="left"/>
      <w:pPr>
        <w:ind w:left="432" w:hanging="432"/>
      </w:pPr>
      <w:rPr>
        <w:rFonts w:hint="eastAsia"/>
        <w:sz w:val="44"/>
        <w:szCs w:val="44"/>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sz w:val="32"/>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4">
    <w:nsid w:val="9CD591D2"/>
    <w:multiLevelType w:val="singleLevel"/>
    <w:tmpl w:val="9CD591D2"/>
    <w:lvl w:ilvl="0" w:tentative="0">
      <w:start w:val="1"/>
      <w:numFmt w:val="decimal"/>
      <w:lvlText w:val="(%1)"/>
      <w:lvlJc w:val="left"/>
      <w:pPr>
        <w:ind w:left="425" w:hanging="425"/>
      </w:pPr>
      <w:rPr>
        <w:rFonts w:hint="default"/>
      </w:rPr>
    </w:lvl>
  </w:abstractNum>
  <w:abstractNum w:abstractNumId="5">
    <w:nsid w:val="A765656C"/>
    <w:multiLevelType w:val="singleLevel"/>
    <w:tmpl w:val="A765656C"/>
    <w:lvl w:ilvl="0" w:tentative="0">
      <w:start w:val="1"/>
      <w:numFmt w:val="decimal"/>
      <w:lvlText w:val="%1)"/>
      <w:lvlJc w:val="left"/>
      <w:pPr>
        <w:ind w:left="425" w:hanging="425"/>
      </w:pPr>
      <w:rPr>
        <w:rFonts w:hint="default"/>
      </w:rPr>
    </w:lvl>
  </w:abstractNum>
  <w:abstractNum w:abstractNumId="6">
    <w:nsid w:val="E43C4B2A"/>
    <w:multiLevelType w:val="singleLevel"/>
    <w:tmpl w:val="E43C4B2A"/>
    <w:lvl w:ilvl="0" w:tentative="0">
      <w:start w:val="1"/>
      <w:numFmt w:val="bullet"/>
      <w:lvlText w:val=""/>
      <w:lvlJc w:val="left"/>
      <w:pPr>
        <w:ind w:left="420" w:hanging="420"/>
      </w:pPr>
      <w:rPr>
        <w:rFonts w:hint="default" w:ascii="Wingdings" w:hAnsi="Wingdings"/>
      </w:rPr>
    </w:lvl>
  </w:abstractNum>
  <w:abstractNum w:abstractNumId="7">
    <w:nsid w:val="EC41F478"/>
    <w:multiLevelType w:val="singleLevel"/>
    <w:tmpl w:val="EC41F478"/>
    <w:lvl w:ilvl="0" w:tentative="0">
      <w:start w:val="1"/>
      <w:numFmt w:val="decimal"/>
      <w:lvlText w:val="(%1)"/>
      <w:lvlJc w:val="left"/>
      <w:pPr>
        <w:ind w:left="425" w:hanging="425"/>
      </w:pPr>
      <w:rPr>
        <w:rFonts w:hint="default"/>
      </w:rPr>
    </w:lvl>
  </w:abstractNum>
  <w:abstractNum w:abstractNumId="8">
    <w:nsid w:val="F33C3D49"/>
    <w:multiLevelType w:val="singleLevel"/>
    <w:tmpl w:val="F33C3D49"/>
    <w:lvl w:ilvl="0" w:tentative="0">
      <w:start w:val="1"/>
      <w:numFmt w:val="bullet"/>
      <w:lvlText w:val=""/>
      <w:lvlJc w:val="left"/>
      <w:pPr>
        <w:ind w:left="420" w:hanging="420"/>
      </w:pPr>
      <w:rPr>
        <w:rFonts w:hint="default" w:ascii="Wingdings" w:hAnsi="Wingdings"/>
      </w:rPr>
    </w:lvl>
  </w:abstractNum>
  <w:abstractNum w:abstractNumId="9">
    <w:nsid w:val="FD8588F4"/>
    <w:multiLevelType w:val="singleLevel"/>
    <w:tmpl w:val="FD8588F4"/>
    <w:lvl w:ilvl="0" w:tentative="0">
      <w:start w:val="1"/>
      <w:numFmt w:val="decimal"/>
      <w:lvlText w:val="(%1)"/>
      <w:lvlJc w:val="left"/>
      <w:pPr>
        <w:ind w:left="425" w:hanging="425"/>
      </w:pPr>
      <w:rPr>
        <w:rFonts w:hint="default"/>
      </w:rPr>
    </w:lvl>
  </w:abstractNum>
  <w:abstractNum w:abstractNumId="10">
    <w:nsid w:val="037C5A1C"/>
    <w:multiLevelType w:val="multilevel"/>
    <w:tmpl w:val="037C5A1C"/>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
    <w:nsid w:val="03A32F12"/>
    <w:multiLevelType w:val="multilevel"/>
    <w:tmpl w:val="03A32F1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11D7540D"/>
    <w:multiLevelType w:val="singleLevel"/>
    <w:tmpl w:val="11D7540D"/>
    <w:lvl w:ilvl="0" w:tentative="0">
      <w:start w:val="1"/>
      <w:numFmt w:val="decimal"/>
      <w:lvlText w:val="(%1)"/>
      <w:lvlJc w:val="left"/>
      <w:pPr>
        <w:ind w:left="425" w:hanging="425"/>
      </w:pPr>
      <w:rPr>
        <w:rFonts w:hint="default"/>
      </w:rPr>
    </w:lvl>
  </w:abstractNum>
  <w:abstractNum w:abstractNumId="13">
    <w:nsid w:val="19AE39CF"/>
    <w:multiLevelType w:val="singleLevel"/>
    <w:tmpl w:val="19AE39CF"/>
    <w:lvl w:ilvl="0" w:tentative="0">
      <w:start w:val="1"/>
      <w:numFmt w:val="decimal"/>
      <w:lvlText w:val="(%1)"/>
      <w:lvlJc w:val="left"/>
      <w:pPr>
        <w:ind w:left="425" w:hanging="425"/>
      </w:pPr>
      <w:rPr>
        <w:rFonts w:hint="default"/>
      </w:rPr>
    </w:lvl>
  </w:abstractNum>
  <w:abstractNum w:abstractNumId="14">
    <w:nsid w:val="1BDE0E88"/>
    <w:multiLevelType w:val="singleLevel"/>
    <w:tmpl w:val="1BDE0E88"/>
    <w:lvl w:ilvl="0" w:tentative="0">
      <w:start w:val="1"/>
      <w:numFmt w:val="bullet"/>
      <w:lvlText w:val=""/>
      <w:lvlJc w:val="left"/>
      <w:pPr>
        <w:ind w:left="420" w:hanging="420"/>
      </w:pPr>
      <w:rPr>
        <w:rFonts w:hint="default" w:ascii="Wingdings" w:hAnsi="Wingdings"/>
      </w:rPr>
    </w:lvl>
  </w:abstractNum>
  <w:abstractNum w:abstractNumId="15">
    <w:nsid w:val="21462236"/>
    <w:multiLevelType w:val="multilevel"/>
    <w:tmpl w:val="2146223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3C25AE7"/>
    <w:multiLevelType w:val="singleLevel"/>
    <w:tmpl w:val="23C25AE7"/>
    <w:lvl w:ilvl="0" w:tentative="0">
      <w:start w:val="1"/>
      <w:numFmt w:val="decimal"/>
      <w:lvlText w:val="(%1)"/>
      <w:lvlJc w:val="left"/>
      <w:pPr>
        <w:ind w:left="425" w:hanging="425"/>
      </w:pPr>
      <w:rPr>
        <w:rFonts w:hint="default"/>
      </w:rPr>
    </w:lvl>
  </w:abstractNum>
  <w:abstractNum w:abstractNumId="17">
    <w:nsid w:val="37171F36"/>
    <w:multiLevelType w:val="singleLevel"/>
    <w:tmpl w:val="37171F36"/>
    <w:lvl w:ilvl="0" w:tentative="0">
      <w:start w:val="1"/>
      <w:numFmt w:val="decimal"/>
      <w:lvlText w:val="%1)"/>
      <w:lvlJc w:val="left"/>
      <w:pPr>
        <w:ind w:left="425" w:hanging="425"/>
      </w:pPr>
      <w:rPr>
        <w:rFonts w:hint="default"/>
      </w:rPr>
    </w:lvl>
  </w:abstractNum>
  <w:abstractNum w:abstractNumId="18">
    <w:nsid w:val="381B783E"/>
    <w:multiLevelType w:val="singleLevel"/>
    <w:tmpl w:val="381B783E"/>
    <w:lvl w:ilvl="0" w:tentative="0">
      <w:start w:val="1"/>
      <w:numFmt w:val="bullet"/>
      <w:lvlText w:val=""/>
      <w:lvlJc w:val="left"/>
      <w:pPr>
        <w:tabs>
          <w:tab w:val="left" w:pos="420"/>
        </w:tabs>
        <w:ind w:left="840" w:hanging="420"/>
      </w:pPr>
      <w:rPr>
        <w:rFonts w:hint="default" w:ascii="Wingdings" w:hAnsi="Wingdings"/>
      </w:rPr>
    </w:lvl>
  </w:abstractNum>
  <w:abstractNum w:abstractNumId="19">
    <w:nsid w:val="4329515A"/>
    <w:multiLevelType w:val="multilevel"/>
    <w:tmpl w:val="4329515A"/>
    <w:lvl w:ilvl="0" w:tentative="0">
      <w:start w:val="1"/>
      <w:numFmt w:val="decimal"/>
      <w:lvlText w:val="%1)"/>
      <w:lvlJc w:val="left"/>
      <w:pPr>
        <w:ind w:left="900" w:hanging="420"/>
      </w:p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44147C81"/>
    <w:multiLevelType w:val="multilevel"/>
    <w:tmpl w:val="44147C8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47C6354"/>
    <w:multiLevelType w:val="singleLevel"/>
    <w:tmpl w:val="447C6354"/>
    <w:lvl w:ilvl="0" w:tentative="0">
      <w:start w:val="1"/>
      <w:numFmt w:val="decimal"/>
      <w:lvlText w:val="(%1)"/>
      <w:lvlJc w:val="left"/>
      <w:pPr>
        <w:ind w:left="425" w:hanging="425"/>
      </w:pPr>
      <w:rPr>
        <w:rFonts w:hint="default"/>
      </w:rPr>
    </w:lvl>
  </w:abstractNum>
  <w:abstractNum w:abstractNumId="22">
    <w:nsid w:val="45AB0234"/>
    <w:multiLevelType w:val="multilevel"/>
    <w:tmpl w:val="45AB023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4A68A566"/>
    <w:multiLevelType w:val="singleLevel"/>
    <w:tmpl w:val="4A68A566"/>
    <w:lvl w:ilvl="0" w:tentative="0">
      <w:start w:val="1"/>
      <w:numFmt w:val="decimal"/>
      <w:lvlText w:val="(%1)"/>
      <w:lvlJc w:val="left"/>
      <w:pPr>
        <w:ind w:left="425" w:hanging="425"/>
      </w:pPr>
      <w:rPr>
        <w:rFonts w:hint="default"/>
      </w:rPr>
    </w:lvl>
  </w:abstractNum>
  <w:abstractNum w:abstractNumId="24">
    <w:nsid w:val="648D68E1"/>
    <w:multiLevelType w:val="singleLevel"/>
    <w:tmpl w:val="648D68E1"/>
    <w:lvl w:ilvl="0" w:tentative="0">
      <w:start w:val="1"/>
      <w:numFmt w:val="decimal"/>
      <w:lvlText w:val="(%1)"/>
      <w:lvlJc w:val="left"/>
      <w:pPr>
        <w:ind w:left="425" w:hanging="425"/>
      </w:pPr>
      <w:rPr>
        <w:rFonts w:hint="default"/>
      </w:rPr>
    </w:lvl>
  </w:abstractNum>
  <w:abstractNum w:abstractNumId="25">
    <w:nsid w:val="71C61B1A"/>
    <w:multiLevelType w:val="singleLevel"/>
    <w:tmpl w:val="71C61B1A"/>
    <w:lvl w:ilvl="0" w:tentative="0">
      <w:start w:val="1"/>
      <w:numFmt w:val="decimal"/>
      <w:lvlText w:val="%1)"/>
      <w:lvlJc w:val="left"/>
      <w:pPr>
        <w:ind w:left="425" w:hanging="425"/>
      </w:pPr>
      <w:rPr>
        <w:rFonts w:hint="default"/>
      </w:rPr>
    </w:lvl>
  </w:abstractNum>
  <w:abstractNum w:abstractNumId="26">
    <w:nsid w:val="7CAC277C"/>
    <w:multiLevelType w:val="multilevel"/>
    <w:tmpl w:val="7CAC277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15"/>
  </w:num>
  <w:num w:numId="3">
    <w:abstractNumId w:val="10"/>
  </w:num>
  <w:num w:numId="4">
    <w:abstractNumId w:val="19"/>
  </w:num>
  <w:num w:numId="5">
    <w:abstractNumId w:val="25"/>
  </w:num>
  <w:num w:numId="6">
    <w:abstractNumId w:val="17"/>
  </w:num>
  <w:num w:numId="7">
    <w:abstractNumId w:val="8"/>
  </w:num>
  <w:num w:numId="8">
    <w:abstractNumId w:val="6"/>
  </w:num>
  <w:num w:numId="9">
    <w:abstractNumId w:val="20"/>
  </w:num>
  <w:num w:numId="10">
    <w:abstractNumId w:val="22"/>
  </w:num>
  <w:num w:numId="11">
    <w:abstractNumId w:val="18"/>
  </w:num>
  <w:num w:numId="12">
    <w:abstractNumId w:val="7"/>
  </w:num>
  <w:num w:numId="13">
    <w:abstractNumId w:val="2"/>
  </w:num>
  <w:num w:numId="14">
    <w:abstractNumId w:val="23"/>
  </w:num>
  <w:num w:numId="15">
    <w:abstractNumId w:val="13"/>
  </w:num>
  <w:num w:numId="16">
    <w:abstractNumId w:val="12"/>
  </w:num>
  <w:num w:numId="17">
    <w:abstractNumId w:val="4"/>
  </w:num>
  <w:num w:numId="18">
    <w:abstractNumId w:val="16"/>
  </w:num>
  <w:num w:numId="19">
    <w:abstractNumId w:val="9"/>
  </w:num>
  <w:num w:numId="20">
    <w:abstractNumId w:val="24"/>
  </w:num>
  <w:num w:numId="21">
    <w:abstractNumId w:val="21"/>
  </w:num>
  <w:num w:numId="22">
    <w:abstractNumId w:val="26"/>
  </w:num>
  <w:num w:numId="23">
    <w:abstractNumId w:val="11"/>
  </w:num>
  <w:num w:numId="24">
    <w:abstractNumId w:val="1"/>
  </w:num>
  <w:num w:numId="25">
    <w:abstractNumId w:val="5"/>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7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5ZGVmZGVhMDBlYTM3ZmM0OTE0MTE1YWEyMGE2Y2IifQ=="/>
  </w:docVars>
  <w:rsids>
    <w:rsidRoot w:val="6E8A05CE"/>
    <w:rsid w:val="01BA2A5D"/>
    <w:rsid w:val="02B02357"/>
    <w:rsid w:val="02D9568F"/>
    <w:rsid w:val="02E63D74"/>
    <w:rsid w:val="08B76A09"/>
    <w:rsid w:val="09853269"/>
    <w:rsid w:val="0A054862"/>
    <w:rsid w:val="0A35393A"/>
    <w:rsid w:val="0A817A25"/>
    <w:rsid w:val="0ADA17C7"/>
    <w:rsid w:val="0AF07736"/>
    <w:rsid w:val="0F9F2BE4"/>
    <w:rsid w:val="10782AF1"/>
    <w:rsid w:val="10BE5321"/>
    <w:rsid w:val="11BF41F4"/>
    <w:rsid w:val="12D07A1A"/>
    <w:rsid w:val="17CA2916"/>
    <w:rsid w:val="191A45CC"/>
    <w:rsid w:val="1CE1466C"/>
    <w:rsid w:val="1EDC539B"/>
    <w:rsid w:val="1EF9571A"/>
    <w:rsid w:val="1F0C5399"/>
    <w:rsid w:val="203A2ECB"/>
    <w:rsid w:val="20EB1A8B"/>
    <w:rsid w:val="2187231C"/>
    <w:rsid w:val="22DA00C9"/>
    <w:rsid w:val="25F65A7D"/>
    <w:rsid w:val="275E36AF"/>
    <w:rsid w:val="27676152"/>
    <w:rsid w:val="2882122B"/>
    <w:rsid w:val="28B906D0"/>
    <w:rsid w:val="29182051"/>
    <w:rsid w:val="294A0032"/>
    <w:rsid w:val="2A5F5B9E"/>
    <w:rsid w:val="2AC83B9D"/>
    <w:rsid w:val="2B082310"/>
    <w:rsid w:val="2C010733"/>
    <w:rsid w:val="2C0A388C"/>
    <w:rsid w:val="2E575049"/>
    <w:rsid w:val="313A7E4B"/>
    <w:rsid w:val="34B338DE"/>
    <w:rsid w:val="36AD1852"/>
    <w:rsid w:val="39253EBF"/>
    <w:rsid w:val="3C5A58BF"/>
    <w:rsid w:val="3CB15112"/>
    <w:rsid w:val="3E012AD6"/>
    <w:rsid w:val="4013578E"/>
    <w:rsid w:val="406F4B48"/>
    <w:rsid w:val="42DB7410"/>
    <w:rsid w:val="45AF2770"/>
    <w:rsid w:val="48486F75"/>
    <w:rsid w:val="48D446D1"/>
    <w:rsid w:val="4A63098A"/>
    <w:rsid w:val="4D175F3B"/>
    <w:rsid w:val="4D6078DF"/>
    <w:rsid w:val="4EFD1361"/>
    <w:rsid w:val="4F0E47AD"/>
    <w:rsid w:val="525A714D"/>
    <w:rsid w:val="53903895"/>
    <w:rsid w:val="571841DC"/>
    <w:rsid w:val="586A1EEA"/>
    <w:rsid w:val="59403B00"/>
    <w:rsid w:val="5A5D3D2C"/>
    <w:rsid w:val="5B9D6D2A"/>
    <w:rsid w:val="5D293DD5"/>
    <w:rsid w:val="5D9024E8"/>
    <w:rsid w:val="602A56CD"/>
    <w:rsid w:val="61411495"/>
    <w:rsid w:val="61C5737B"/>
    <w:rsid w:val="633E08A3"/>
    <w:rsid w:val="63E97635"/>
    <w:rsid w:val="68F42FC4"/>
    <w:rsid w:val="6A457B50"/>
    <w:rsid w:val="6B5032D4"/>
    <w:rsid w:val="6C581985"/>
    <w:rsid w:val="6D337A1A"/>
    <w:rsid w:val="6D4E7615"/>
    <w:rsid w:val="6DE610F3"/>
    <w:rsid w:val="6E8A05CE"/>
    <w:rsid w:val="74C008AE"/>
    <w:rsid w:val="74D84FB9"/>
    <w:rsid w:val="76F037B8"/>
    <w:rsid w:val="772823F6"/>
    <w:rsid w:val="7C1D5E70"/>
    <w:rsid w:val="7C213A0D"/>
    <w:rsid w:val="7CC8707A"/>
    <w:rsid w:val="7D5E0601"/>
    <w:rsid w:val="7DAE0F9C"/>
    <w:rsid w:val="7FD30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432"/>
      </w:tabs>
      <w:spacing w:before="120" w:line="576" w:lineRule="auto"/>
      <w:ind w:left="432" w:hanging="432"/>
      <w:jc w:val="center"/>
      <w:outlineLvl w:val="0"/>
    </w:pPr>
    <w:rPr>
      <w:rFonts w:eastAsia="宋体"/>
      <w:b/>
      <w:bCs/>
      <w:kern w:val="44"/>
      <w:sz w:val="44"/>
      <w:szCs w:val="28"/>
    </w:rPr>
  </w:style>
  <w:style w:type="paragraph" w:styleId="3">
    <w:name w:val="heading 2"/>
    <w:basedOn w:val="1"/>
    <w:next w:val="1"/>
    <w:qFormat/>
    <w:uiPriority w:val="0"/>
    <w:pPr>
      <w:keepNext/>
      <w:keepLines/>
      <w:numPr>
        <w:ilvl w:val="1"/>
        <w:numId w:val="1"/>
      </w:numPr>
      <w:tabs>
        <w:tab w:val="left" w:pos="480"/>
        <w:tab w:val="left" w:pos="576"/>
      </w:tabs>
      <w:spacing w:before="50" w:beforeLines="50" w:line="415" w:lineRule="auto"/>
      <w:ind w:left="575" w:hanging="575"/>
      <w:jc w:val="left"/>
      <w:outlineLvl w:val="1"/>
    </w:pPr>
    <w:rPr>
      <w:rFonts w:ascii="Arial" w:hAnsi="Arial"/>
      <w:b/>
      <w:bCs/>
      <w:sz w:val="32"/>
    </w:rPr>
  </w:style>
  <w:style w:type="paragraph" w:styleId="4">
    <w:name w:val="heading 3"/>
    <w:basedOn w:val="1"/>
    <w:next w:val="1"/>
    <w:qFormat/>
    <w:uiPriority w:val="0"/>
    <w:pPr>
      <w:keepNext/>
      <w:keepLines/>
      <w:numPr>
        <w:ilvl w:val="2"/>
        <w:numId w:val="1"/>
      </w:numPr>
      <w:tabs>
        <w:tab w:val="left" w:pos="720"/>
      </w:tabs>
      <w:spacing w:before="140" w:after="140" w:line="360" w:lineRule="auto"/>
      <w:ind w:left="720" w:hanging="720"/>
      <w:outlineLvl w:val="2"/>
    </w:pPr>
    <w:rPr>
      <w:rFonts w:eastAsia="宋体"/>
      <w:b/>
      <w:bCs/>
      <w:sz w:val="32"/>
      <w:szCs w:val="32"/>
    </w:rPr>
  </w:style>
  <w:style w:type="paragraph" w:styleId="5">
    <w:name w:val="heading 4"/>
    <w:basedOn w:val="1"/>
    <w:next w:val="1"/>
    <w:qFormat/>
    <w:uiPriority w:val="0"/>
    <w:pPr>
      <w:keepNext/>
      <w:keepLines/>
      <w:numPr>
        <w:ilvl w:val="3"/>
        <w:numId w:val="1"/>
      </w:numPr>
      <w:tabs>
        <w:tab w:val="left" w:pos="864"/>
      </w:tabs>
      <w:spacing w:before="140" w:after="140" w:line="360" w:lineRule="auto"/>
      <w:ind w:left="862" w:hanging="862"/>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tabs>
        <w:tab w:val="left" w:pos="1008"/>
      </w:tabs>
      <w:spacing w:before="140" w:after="140" w:line="360" w:lineRule="auto"/>
      <w:ind w:left="1009" w:hanging="1009"/>
      <w:jc w:val="left"/>
      <w:outlineLvl w:val="4"/>
    </w:pPr>
    <w:rPr>
      <w:b/>
      <w:bCs/>
      <w:sz w:val="28"/>
      <w:szCs w:val="28"/>
    </w:rPr>
  </w:style>
  <w:style w:type="paragraph" w:styleId="7">
    <w:name w:val="heading 6"/>
    <w:basedOn w:val="1"/>
    <w:next w:val="1"/>
    <w:qFormat/>
    <w:uiPriority w:val="0"/>
    <w:pPr>
      <w:keepNext/>
      <w:keepLines/>
      <w:numPr>
        <w:ilvl w:val="5"/>
        <w:numId w:val="1"/>
      </w:numPr>
      <w:tabs>
        <w:tab w:val="left" w:pos="1152"/>
      </w:tabs>
      <w:spacing w:before="240" w:after="64" w:line="319" w:lineRule="auto"/>
      <w:ind w:left="1151" w:hanging="1151"/>
      <w:outlineLvl w:val="5"/>
    </w:pPr>
    <w:rPr>
      <w:rFonts w:ascii="Arial" w:hAnsi="Arial" w:eastAsia="黑体"/>
      <w:b/>
      <w:bCs/>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11">
    <w:name w:val="caption"/>
    <w:basedOn w:val="1"/>
    <w:next w:val="1"/>
    <w:qFormat/>
    <w:uiPriority w:val="0"/>
    <w:pPr>
      <w:spacing w:line="360" w:lineRule="auto"/>
      <w:ind w:firstLine="200" w:firstLineChars="200"/>
    </w:pPr>
    <w:rPr>
      <w:rFonts w:ascii="Arial" w:hAnsi="Arial" w:eastAsia="黑体" w:cs="Arial"/>
      <w:szCs w:val="21"/>
    </w:rPr>
  </w:style>
  <w:style w:type="paragraph" w:styleId="12">
    <w:name w:val="Body Text"/>
    <w:basedOn w:val="1"/>
    <w:qFormat/>
    <w:uiPriority w:val="0"/>
    <w:pPr>
      <w:spacing w:after="120"/>
    </w:pPr>
  </w:style>
  <w:style w:type="paragraph" w:styleId="13">
    <w:name w:val="Body Text Indent"/>
    <w:basedOn w:val="1"/>
    <w:qFormat/>
    <w:uiPriority w:val="0"/>
    <w:pPr>
      <w:adjustRightInd w:val="0"/>
      <w:snapToGrid w:val="0"/>
      <w:spacing w:line="360" w:lineRule="auto"/>
      <w:ind w:firstLine="425"/>
    </w:pPr>
    <w:rPr>
      <w:rFonts w:ascii="Arial" w:hAnsi="Arial" w:eastAsia="微软简中圆"/>
      <w:color w:val="008000"/>
      <w:sz w:val="24"/>
      <w:szCs w:val="20"/>
    </w:rPr>
  </w:style>
  <w:style w:type="paragraph" w:styleId="14">
    <w:name w:val="toc 3"/>
    <w:basedOn w:val="1"/>
    <w:next w:val="1"/>
    <w:qFormat/>
    <w:uiPriority w:val="39"/>
    <w:pPr>
      <w:ind w:left="420"/>
      <w:jc w:val="left"/>
    </w:pPr>
    <w:rPr>
      <w:i/>
      <w:iCs/>
      <w:sz w:val="20"/>
      <w:szCs w:val="20"/>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spacing w:before="120" w:after="120"/>
      <w:jc w:val="left"/>
    </w:pPr>
    <w:rPr>
      <w:b/>
      <w:bCs/>
      <w:caps/>
      <w:sz w:val="20"/>
      <w:szCs w:val="20"/>
    </w:rPr>
  </w:style>
  <w:style w:type="paragraph" w:styleId="18">
    <w:name w:val="toc 2"/>
    <w:basedOn w:val="1"/>
    <w:next w:val="1"/>
    <w:qFormat/>
    <w:uiPriority w:val="39"/>
    <w:pPr>
      <w:ind w:left="210"/>
      <w:jc w:val="left"/>
    </w:pPr>
    <w:rPr>
      <w:smallCaps/>
      <w:sz w:val="20"/>
      <w:szCs w:val="20"/>
    </w:rPr>
  </w:style>
  <w:style w:type="paragraph" w:styleId="19">
    <w:name w:val="Body Text First Indent 2"/>
    <w:basedOn w:val="13"/>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列出段落3"/>
    <w:basedOn w:val="1"/>
    <w:unhideWhenUsed/>
    <w:qFormat/>
    <w:uiPriority w:val="99"/>
    <w:pPr>
      <w:ind w:firstLine="420" w:firstLineChars="200"/>
    </w:pPr>
  </w:style>
  <w:style w:type="character" w:customStyle="1" w:styleId="24">
    <w:name w:val="fontstyle01"/>
    <w:basedOn w:val="22"/>
    <w:qFormat/>
    <w:uiPriority w:val="0"/>
    <w:rPr>
      <w:rFonts w:hint="eastAsia" w:ascii="宋体" w:hAnsi="宋体" w:eastAsia="宋体"/>
      <w:color w:val="000000"/>
      <w:sz w:val="24"/>
      <w:szCs w:val="24"/>
    </w:rPr>
  </w:style>
  <w:style w:type="paragraph" w:customStyle="1" w:styleId="25">
    <w:name w:val="报告正文"/>
    <w:basedOn w:val="1"/>
    <w:qFormat/>
    <w:uiPriority w:val="0"/>
    <w:pPr>
      <w:widowControl/>
      <w:spacing w:line="300" w:lineRule="auto"/>
      <w:ind w:firstLine="200" w:firstLineChars="200"/>
      <w:jc w:val="left"/>
    </w:pPr>
    <w:rPr>
      <w:rFonts w:ascii="Arial" w:hAnsi="Arial" w:cs="Arial"/>
      <w:szCs w:val="21"/>
    </w:rPr>
  </w:style>
  <w:style w:type="paragraph" w:styleId="26">
    <w:name w:val="List Paragraph"/>
    <w:basedOn w:val="1"/>
    <w:qFormat/>
    <w:uiPriority w:val="34"/>
    <w:pPr>
      <w:ind w:firstLine="420" w:firstLineChars="200"/>
    </w:pPr>
    <w:rPr>
      <w:rFonts w:ascii="Calibri" w:hAnsi="Calibri"/>
      <w:szCs w:val="22"/>
    </w:rPr>
  </w:style>
  <w:style w:type="paragraph" w:customStyle="1" w:styleId="27">
    <w:name w:val="图片格式"/>
    <w:basedOn w:val="1"/>
    <w:qFormat/>
    <w:uiPriority w:val="0"/>
    <w:pPr>
      <w:jc w:val="center"/>
    </w:pPr>
  </w:style>
  <w:style w:type="paragraph" w:customStyle="1" w:styleId="28">
    <w:name w:val="表格"/>
    <w:basedOn w:val="1"/>
    <w:qFormat/>
    <w:uiPriority w:val="0"/>
    <w:pPr>
      <w:spacing w:after="100" w:afterLines="100"/>
      <w:jc w:val="center"/>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emf"/><Relationship Id="rId27" Type="http://schemas.openxmlformats.org/officeDocument/2006/relationships/image" Target="media/image20.png"/><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customXml" Target="ink/ink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1-08-24T16:50:59"/>
    </inkml:context>
    <inkml:brush xml:id="br0">
      <inkml:brushProperty name="width" value="0.05" units="cm"/>
      <inkml:brushProperty name="height" value="0.05" units="cm"/>
      <inkml:brushProperty name="color" value="#ffc114"/>
    </inkml:brush>
  </inkml:definitions>
  <inkml:trace contextRef="#ctx0" brushRef="#br0">1 1,'0'0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36518</Words>
  <Characters>39761</Characters>
  <Lines>0</Lines>
  <Paragraphs>0</Paragraphs>
  <TotalTime>45</TotalTime>
  <ScaleCrop>false</ScaleCrop>
  <LinksUpToDate>false</LinksUpToDate>
  <CharactersWithSpaces>40321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2021-08-12T01:55:00Z</dcterms:created>
  <dc:creator>噢耶</dc:creator>
  <cp:lastModifiedBy>郑准</cp:lastModifiedBy>
  <dcterms:modified xsi:type="dcterms:W3CDTF">2022-08-22T13:52:16Z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297B65FC068F4E1BAB6DEC7A70875110</vt:lpwstr>
  </property>
</Properties>
</file>